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F0233" w14:textId="01462266" w:rsidR="003356E4" w:rsidRPr="00220ADA" w:rsidRDefault="005E5FBB" w:rsidP="00D5008E">
      <w:pPr>
        <w:spacing w:before="120" w:after="0"/>
        <w:rPr>
          <w:rFonts w:asciiTheme="majorHAnsi" w:hAnsiTheme="majorHAnsi" w:cstheme="majorHAnsi"/>
          <w:color w:val="000000" w:themeColor="text1"/>
          <w:sz w:val="24"/>
          <w:szCs w:val="24"/>
        </w:rPr>
      </w:pPr>
      <w:r>
        <w:rPr>
          <w:rFonts w:asciiTheme="majorHAnsi" w:hAnsiTheme="majorHAnsi"/>
          <w:noProof/>
          <w:color w:val="000000" w:themeColor="text1"/>
          <w:sz w:val="24"/>
        </w:rPr>
        <w:drawing>
          <wp:anchor distT="0" distB="0" distL="114300" distR="114300" simplePos="0" relativeHeight="251658240" behindDoc="0" locked="0" layoutInCell="1" allowOverlap="1" wp14:anchorId="2A7FF55B" wp14:editId="1F72EF1F">
            <wp:simplePos x="0" y="0"/>
            <wp:positionH relativeFrom="margin">
              <wp:posOffset>-35859</wp:posOffset>
            </wp:positionH>
            <wp:positionV relativeFrom="margin">
              <wp:posOffset>-286871</wp:posOffset>
            </wp:positionV>
            <wp:extent cx="5486400" cy="756285"/>
            <wp:effectExtent l="0" t="0" r="0" b="5715"/>
            <wp:wrapSquare wrapText="bothSides"/>
            <wp:docPr id="253973811" name="Obraz 2"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73811" name="Obraz 2" descr="Zestawienie znaków: Fundusze Europejskie, Barwy Rzeczpospolitej Polskiej, Unia Europejsk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562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color w:val="000000" w:themeColor="text1"/>
          <w:sz w:val="24"/>
        </w:rPr>
        <w:t>Appendix No. 1 to Ordinance No. 1/08/2026</w:t>
      </w:r>
    </w:p>
    <w:p w14:paraId="4DE46253" w14:textId="77777777" w:rsidR="003356E4" w:rsidRPr="00220ADA" w:rsidRDefault="003356E4" w:rsidP="00220ADA">
      <w:pPr>
        <w:spacing w:after="0"/>
        <w:rPr>
          <w:rFonts w:asciiTheme="majorHAnsi" w:hAnsiTheme="majorHAnsi" w:cstheme="majorHAnsi"/>
          <w:color w:val="000000" w:themeColor="text1"/>
          <w:sz w:val="24"/>
          <w:szCs w:val="24"/>
        </w:rPr>
      </w:pPr>
      <w:r>
        <w:rPr>
          <w:rFonts w:asciiTheme="majorHAnsi" w:hAnsiTheme="majorHAnsi"/>
          <w:color w:val="000000" w:themeColor="text1"/>
          <w:sz w:val="24"/>
        </w:rPr>
        <w:t>of the Vice-Rector for Education at VIZJA University</w:t>
      </w:r>
    </w:p>
    <w:p w14:paraId="5C2B4C69" w14:textId="4555BAEB" w:rsidR="00D5008E" w:rsidRPr="00220ADA" w:rsidRDefault="003356E4" w:rsidP="00220ADA">
      <w:pPr>
        <w:spacing w:after="0"/>
        <w:rPr>
          <w:rFonts w:asciiTheme="majorHAnsi" w:hAnsiTheme="majorHAnsi" w:cstheme="majorHAnsi"/>
          <w:color w:val="000000" w:themeColor="text1"/>
          <w:sz w:val="24"/>
          <w:szCs w:val="24"/>
        </w:rPr>
      </w:pPr>
      <w:r>
        <w:rPr>
          <w:rFonts w:asciiTheme="majorHAnsi" w:hAnsiTheme="majorHAnsi"/>
          <w:color w:val="000000" w:themeColor="text1"/>
          <w:sz w:val="24"/>
        </w:rPr>
        <w:t>of 5 August 2026</w:t>
      </w:r>
    </w:p>
    <w:p w14:paraId="062EECF5" w14:textId="77777777" w:rsidR="006919F8" w:rsidRDefault="00355BA5" w:rsidP="006919F8">
      <w:pPr>
        <w:spacing w:before="240" w:after="0"/>
        <w:rPr>
          <w:rStyle w:val="Nagwek1Znak"/>
        </w:rPr>
      </w:pPr>
      <w:r>
        <w:rPr>
          <w:rStyle w:val="Nagwek1Znak"/>
        </w:rPr>
        <w:t>PROCEDURE NO. 1</w:t>
      </w:r>
    </w:p>
    <w:p w14:paraId="25B621AD" w14:textId="10898138" w:rsidR="00D82E25" w:rsidRPr="00437076" w:rsidRDefault="00355BA5" w:rsidP="006919F8">
      <w:pPr>
        <w:spacing w:after="240"/>
        <w:rPr>
          <w:rFonts w:ascii="Calibri" w:hAnsi="Calibri" w:cs="Calibri"/>
        </w:rPr>
      </w:pPr>
      <w:r>
        <w:rPr>
          <w:rFonts w:ascii="Calibri" w:hAnsi="Calibri"/>
          <w:sz w:val="24"/>
        </w:rPr>
        <w:t>Procedure for the Periodic Evaluation of Teaching Activities</w:t>
      </w:r>
    </w:p>
    <w:p w14:paraId="5736A26B" w14:textId="6D97D044" w:rsidR="00D82E25" w:rsidRPr="006748AC" w:rsidRDefault="00355BA5" w:rsidP="001577A4">
      <w:pPr>
        <w:pStyle w:val="Nagwek2"/>
      </w:pPr>
      <w:r>
        <w:t>§ 1. [Purpose of the Procedure]</w:t>
      </w:r>
    </w:p>
    <w:p w14:paraId="6601C207" w14:textId="643011AF" w:rsidR="00D82E25" w:rsidRPr="00DA3EBE" w:rsidRDefault="00355BA5" w:rsidP="00DA3EBE">
      <w:pPr>
        <w:pStyle w:val="Akapitzlist"/>
        <w:numPr>
          <w:ilvl w:val="0"/>
          <w:numId w:val="10"/>
        </w:numPr>
        <w:spacing w:before="120" w:after="120" w:line="288" w:lineRule="auto"/>
        <w:rPr>
          <w:rFonts w:asciiTheme="majorHAnsi" w:hAnsiTheme="majorHAnsi" w:cstheme="majorHAnsi"/>
          <w:color w:val="000000" w:themeColor="text1"/>
          <w:sz w:val="24"/>
          <w:szCs w:val="24"/>
        </w:rPr>
      </w:pPr>
      <w:r>
        <w:rPr>
          <w:rFonts w:asciiTheme="majorHAnsi" w:hAnsiTheme="majorHAnsi"/>
          <w:color w:val="000000" w:themeColor="text1"/>
          <w:sz w:val="24"/>
        </w:rPr>
        <w:t>This Procedure sets out the principles, procedure, and scope of responsibility with regard to the periodic evaluation of teaching activities at VIZJA University, hereinafter referred to as “UV,” carried out by the Didactic Excellence Office, hereinafter referred to as “DEO.”</w:t>
      </w:r>
    </w:p>
    <w:p w14:paraId="2DC410C8" w14:textId="6E5E22D6" w:rsidR="003F10A4" w:rsidRPr="00DA3EBE" w:rsidRDefault="00355BA5" w:rsidP="00DA3EBE">
      <w:pPr>
        <w:pStyle w:val="Akapitzlist"/>
        <w:numPr>
          <w:ilvl w:val="0"/>
          <w:numId w:val="10"/>
        </w:numPr>
        <w:spacing w:before="120" w:after="120" w:line="288" w:lineRule="auto"/>
        <w:rPr>
          <w:rFonts w:asciiTheme="majorHAnsi" w:hAnsiTheme="majorHAnsi" w:cstheme="majorHAnsi"/>
          <w:color w:val="000000" w:themeColor="text1"/>
          <w:sz w:val="24"/>
          <w:szCs w:val="24"/>
        </w:rPr>
      </w:pPr>
      <w:r>
        <w:rPr>
          <w:rFonts w:asciiTheme="majorHAnsi" w:hAnsiTheme="majorHAnsi"/>
          <w:color w:val="000000" w:themeColor="text1"/>
          <w:sz w:val="24"/>
        </w:rPr>
        <w:t>The purpose of the Procedure is to systematize the processes related to the evaluation of teaching activities, enabling the continuous improvement of the quality of education.</w:t>
      </w:r>
    </w:p>
    <w:p w14:paraId="6C7D7A9B" w14:textId="70D52BDF" w:rsidR="00D82E25" w:rsidRPr="00DA3EBE" w:rsidRDefault="003F10A4" w:rsidP="00DA3EBE">
      <w:pPr>
        <w:pStyle w:val="Akapitzlist"/>
        <w:numPr>
          <w:ilvl w:val="0"/>
          <w:numId w:val="10"/>
        </w:numPr>
        <w:spacing w:before="120" w:after="120" w:line="288" w:lineRule="auto"/>
        <w:rPr>
          <w:rFonts w:asciiTheme="majorHAnsi" w:hAnsiTheme="majorHAnsi" w:cstheme="majorHAnsi"/>
          <w:color w:val="000000" w:themeColor="text1"/>
          <w:sz w:val="24"/>
          <w:szCs w:val="24"/>
        </w:rPr>
      </w:pPr>
      <w:r>
        <w:rPr>
          <w:rFonts w:asciiTheme="majorHAnsi" w:hAnsiTheme="majorHAnsi"/>
          <w:color w:val="000000" w:themeColor="text1"/>
          <w:sz w:val="24"/>
        </w:rPr>
        <w:t>This process encompasses the implementation of the assumptions of UV's Internal Quality Assurance System for Education.</w:t>
      </w:r>
    </w:p>
    <w:p w14:paraId="24D57403" w14:textId="5792E2E6" w:rsidR="00D82E25" w:rsidRPr="006748AC" w:rsidRDefault="00355BA5" w:rsidP="001577A4">
      <w:pPr>
        <w:pStyle w:val="Nagwek2"/>
      </w:pPr>
      <w:r>
        <w:t>§ 2. [Scope of the Procedure]</w:t>
      </w:r>
    </w:p>
    <w:p w14:paraId="2BD0598E" w14:textId="7351620E" w:rsidR="00D82E25" w:rsidRPr="00DA3EBE" w:rsidRDefault="00355BA5" w:rsidP="00DA3EBE">
      <w:pPr>
        <w:pStyle w:val="Akapitzlist"/>
        <w:numPr>
          <w:ilvl w:val="0"/>
          <w:numId w:val="13"/>
        </w:numPr>
        <w:spacing w:before="120" w:after="120" w:line="288" w:lineRule="auto"/>
        <w:rPr>
          <w:rFonts w:asciiTheme="majorHAnsi" w:hAnsiTheme="majorHAnsi" w:cstheme="majorHAnsi"/>
          <w:color w:val="000000" w:themeColor="text1"/>
          <w:sz w:val="24"/>
          <w:szCs w:val="24"/>
        </w:rPr>
      </w:pPr>
      <w:r>
        <w:rPr>
          <w:rFonts w:asciiTheme="majorHAnsi" w:hAnsiTheme="majorHAnsi"/>
          <w:color w:val="000000" w:themeColor="text1"/>
          <w:sz w:val="24"/>
        </w:rPr>
        <w:t>This Procedure applies to teaching activities conducted at UV, regardless of their form or mode of study.</w:t>
      </w:r>
    </w:p>
    <w:p w14:paraId="7308547B" w14:textId="5057EB20" w:rsidR="00D82E25" w:rsidRPr="00DA3EBE" w:rsidRDefault="00DD4F58" w:rsidP="00DA3EBE">
      <w:pPr>
        <w:pStyle w:val="Akapitzlist"/>
        <w:numPr>
          <w:ilvl w:val="0"/>
          <w:numId w:val="13"/>
        </w:numPr>
        <w:spacing w:before="120" w:after="120" w:line="288" w:lineRule="auto"/>
        <w:rPr>
          <w:rFonts w:asciiTheme="majorHAnsi" w:hAnsiTheme="majorHAnsi" w:cstheme="majorHAnsi"/>
          <w:color w:val="000000" w:themeColor="text1"/>
          <w:sz w:val="24"/>
          <w:szCs w:val="24"/>
        </w:rPr>
      </w:pPr>
      <w:r>
        <w:rPr>
          <w:rFonts w:asciiTheme="majorHAnsi" w:hAnsiTheme="majorHAnsi"/>
          <w:color w:val="000000" w:themeColor="text1"/>
          <w:sz w:val="24"/>
        </w:rPr>
        <w:t>This Procedure applies to persons conducting classes at UV, students, deans, vice-rectors, the rector, the University Council for the Quality of Education, the Faculty Committees for the Quality of Education, and the DEO.</w:t>
      </w:r>
    </w:p>
    <w:p w14:paraId="219DDFDB" w14:textId="2A744E2A" w:rsidR="008E1284" w:rsidRPr="006748AC" w:rsidRDefault="008E1284" w:rsidP="001577A4">
      <w:pPr>
        <w:pStyle w:val="Nagwek2"/>
      </w:pPr>
      <w:r>
        <w:t>§ 3. [Legal Basis and Related Documents]</w:t>
      </w:r>
    </w:p>
    <w:p w14:paraId="40A1A110" w14:textId="06A2CF78" w:rsidR="008E1284" w:rsidRPr="00DA3EBE" w:rsidRDefault="008E1284" w:rsidP="00DA3EBE">
      <w:pPr>
        <w:pStyle w:val="Akapitzlist"/>
        <w:numPr>
          <w:ilvl w:val="0"/>
          <w:numId w:val="15"/>
        </w:numPr>
        <w:spacing w:before="120" w:after="120" w:line="288" w:lineRule="auto"/>
        <w:rPr>
          <w:rFonts w:asciiTheme="majorHAnsi" w:hAnsiTheme="majorHAnsi" w:cstheme="majorHAnsi"/>
          <w:color w:val="000000" w:themeColor="text1"/>
          <w:sz w:val="24"/>
          <w:szCs w:val="24"/>
        </w:rPr>
      </w:pPr>
      <w:r>
        <w:rPr>
          <w:rFonts w:asciiTheme="majorHAnsi" w:hAnsiTheme="majorHAnsi"/>
          <w:color w:val="000000" w:themeColor="text1"/>
          <w:sz w:val="24"/>
        </w:rPr>
        <w:t>Ordinance No. 5/12/2025 of the Rector of VIZJA University dated 22 December 2025 on the establishment of a new organizational unit within the structure of VIZJA University – the Didactic Excellence Office.</w:t>
      </w:r>
    </w:p>
    <w:p w14:paraId="13ACA7C0" w14:textId="792CF794" w:rsidR="008E1284" w:rsidRPr="00DA3EBE" w:rsidRDefault="008E1284" w:rsidP="00DA3EBE">
      <w:pPr>
        <w:pStyle w:val="Akapitzlist"/>
        <w:numPr>
          <w:ilvl w:val="0"/>
          <w:numId w:val="15"/>
        </w:numPr>
        <w:spacing w:before="120" w:after="120" w:line="288" w:lineRule="auto"/>
        <w:rPr>
          <w:rFonts w:asciiTheme="majorHAnsi" w:hAnsiTheme="majorHAnsi" w:cstheme="majorHAnsi"/>
          <w:color w:val="000000" w:themeColor="text1"/>
          <w:sz w:val="24"/>
          <w:szCs w:val="24"/>
        </w:rPr>
      </w:pPr>
      <w:r>
        <w:rPr>
          <w:rFonts w:asciiTheme="majorHAnsi" w:hAnsiTheme="majorHAnsi"/>
          <w:color w:val="000000" w:themeColor="text1"/>
          <w:sz w:val="24"/>
        </w:rPr>
        <w:t>Ordinance No. 1/07/2026 of the Vice-Rector for Education of VIZJA University dated 27 July 2026 on the adoption of the "Principles of Operation of the Didactic Excellence Office within the Structure of VIZJA University."</w:t>
      </w:r>
    </w:p>
    <w:p w14:paraId="61AC286C" w14:textId="58163565" w:rsidR="000E2A30" w:rsidRPr="00DA3EBE" w:rsidRDefault="000E2A30" w:rsidP="00DA3EBE">
      <w:pPr>
        <w:pStyle w:val="Akapitzlist"/>
        <w:numPr>
          <w:ilvl w:val="0"/>
          <w:numId w:val="15"/>
        </w:numPr>
        <w:spacing w:before="120" w:after="120" w:line="288" w:lineRule="auto"/>
        <w:rPr>
          <w:rFonts w:asciiTheme="majorHAnsi" w:hAnsiTheme="majorHAnsi" w:cstheme="majorHAnsi"/>
          <w:color w:val="000000" w:themeColor="text1"/>
          <w:sz w:val="24"/>
          <w:szCs w:val="24"/>
        </w:rPr>
      </w:pPr>
      <w:r>
        <w:rPr>
          <w:rFonts w:asciiTheme="majorHAnsi" w:hAnsiTheme="majorHAnsi"/>
          <w:color w:val="000000" w:themeColor="text1"/>
          <w:sz w:val="24"/>
        </w:rPr>
        <w:t>Procedure No. 3 – Procedure for Providing Feedback on the Results of the Evaluation of Teaching Activities.</w:t>
      </w:r>
    </w:p>
    <w:p w14:paraId="24978F80" w14:textId="5BFA60F8" w:rsidR="008E1284" w:rsidRPr="00DA3EBE" w:rsidRDefault="008E1284" w:rsidP="00DA3EBE">
      <w:pPr>
        <w:pStyle w:val="Akapitzlist"/>
        <w:numPr>
          <w:ilvl w:val="0"/>
          <w:numId w:val="15"/>
        </w:numPr>
        <w:spacing w:before="120" w:after="120" w:line="288" w:lineRule="auto"/>
        <w:rPr>
          <w:rFonts w:asciiTheme="majorHAnsi" w:hAnsiTheme="majorHAnsi" w:cstheme="majorHAnsi"/>
          <w:color w:val="000000" w:themeColor="text1"/>
          <w:sz w:val="24"/>
          <w:szCs w:val="24"/>
        </w:rPr>
      </w:pPr>
      <w:r>
        <w:rPr>
          <w:rFonts w:asciiTheme="majorHAnsi" w:hAnsiTheme="majorHAnsi"/>
          <w:color w:val="000000" w:themeColor="text1"/>
          <w:sz w:val="24"/>
        </w:rPr>
        <w:t>VIZJA University's Internal Quality Assurance System for Education.</w:t>
      </w:r>
    </w:p>
    <w:p w14:paraId="6568FA4A" w14:textId="262A996A" w:rsidR="008E1284" w:rsidRPr="00DA3EBE" w:rsidRDefault="008E1284" w:rsidP="00DA3EBE">
      <w:pPr>
        <w:pStyle w:val="Akapitzlist"/>
        <w:numPr>
          <w:ilvl w:val="0"/>
          <w:numId w:val="15"/>
        </w:numPr>
        <w:spacing w:before="120" w:after="120" w:line="288" w:lineRule="auto"/>
        <w:rPr>
          <w:rFonts w:asciiTheme="majorHAnsi" w:hAnsiTheme="majorHAnsi" w:cstheme="majorHAnsi"/>
          <w:color w:val="000000" w:themeColor="text1"/>
          <w:sz w:val="24"/>
          <w:szCs w:val="24"/>
        </w:rPr>
      </w:pPr>
      <w:r>
        <w:rPr>
          <w:rFonts w:asciiTheme="majorHAnsi" w:hAnsiTheme="majorHAnsi"/>
          <w:color w:val="000000" w:themeColor="text1"/>
          <w:sz w:val="24"/>
        </w:rPr>
        <w:t>The University's Strategy.</w:t>
      </w:r>
    </w:p>
    <w:p w14:paraId="0756CC17" w14:textId="6C79D047" w:rsidR="004F1BB7" w:rsidRPr="006748AC" w:rsidRDefault="004F1BB7" w:rsidP="001577A4">
      <w:pPr>
        <w:pStyle w:val="Nagwek2"/>
      </w:pPr>
      <w:r>
        <w:lastRenderedPageBreak/>
        <w:t>§ 4. [Responsibility]</w:t>
      </w:r>
    </w:p>
    <w:p w14:paraId="27E054B7" w14:textId="1C605134" w:rsidR="004F1BB7" w:rsidRPr="00DA3EBE" w:rsidRDefault="004F1BB7" w:rsidP="00DA3EBE">
      <w:pPr>
        <w:pStyle w:val="Akapitzlist"/>
        <w:numPr>
          <w:ilvl w:val="0"/>
          <w:numId w:val="17"/>
        </w:numPr>
        <w:spacing w:before="120" w:after="120" w:line="288" w:lineRule="auto"/>
        <w:rPr>
          <w:rFonts w:asciiTheme="majorHAnsi" w:hAnsiTheme="majorHAnsi" w:cstheme="majorHAnsi"/>
          <w:color w:val="000000" w:themeColor="text1"/>
          <w:sz w:val="24"/>
          <w:szCs w:val="24"/>
        </w:rPr>
      </w:pPr>
      <w:r>
        <w:rPr>
          <w:rFonts w:asciiTheme="majorHAnsi" w:hAnsiTheme="majorHAnsi"/>
          <w:color w:val="000000" w:themeColor="text1"/>
          <w:sz w:val="24"/>
        </w:rPr>
        <w:t>The DEO is responsible for organizing and coordinating the evaluation process.</w:t>
      </w:r>
    </w:p>
    <w:p w14:paraId="641EB975" w14:textId="6F3DC9FE" w:rsidR="00140CC9" w:rsidRPr="00DA3EBE" w:rsidRDefault="00140CC9" w:rsidP="00DA3EBE">
      <w:pPr>
        <w:pStyle w:val="Akapitzlist"/>
        <w:numPr>
          <w:ilvl w:val="0"/>
          <w:numId w:val="17"/>
        </w:numPr>
        <w:spacing w:before="120" w:after="120" w:line="288" w:lineRule="auto"/>
        <w:rPr>
          <w:rFonts w:asciiTheme="majorHAnsi" w:hAnsiTheme="majorHAnsi" w:cstheme="majorHAnsi"/>
          <w:sz w:val="24"/>
          <w:szCs w:val="24"/>
        </w:rPr>
      </w:pPr>
      <w:r>
        <w:rPr>
          <w:rFonts w:asciiTheme="majorHAnsi" w:hAnsiTheme="majorHAnsi"/>
          <w:sz w:val="24"/>
        </w:rPr>
        <w:t>The University Council for the Quality of Education, the Faculty Committees for the Quality of Education, the Teaching Activity Evaluation Team, persons conducting classes at UV, deans, vice-rectors, the rector, and other organizational units of UV cooperate in carrying out the evaluation, in accordance with the scope of their respective competencies.</w:t>
      </w:r>
    </w:p>
    <w:p w14:paraId="19197055" w14:textId="68100C2E" w:rsidR="00764DD9" w:rsidRPr="00DA3EBE" w:rsidRDefault="00764DD9" w:rsidP="00DA3EBE">
      <w:pPr>
        <w:pStyle w:val="Akapitzlist"/>
        <w:numPr>
          <w:ilvl w:val="0"/>
          <w:numId w:val="17"/>
        </w:numPr>
        <w:spacing w:before="120" w:after="120" w:line="288" w:lineRule="auto"/>
        <w:rPr>
          <w:rFonts w:asciiTheme="majorHAnsi" w:hAnsiTheme="majorHAnsi" w:cstheme="majorHAnsi"/>
          <w:sz w:val="24"/>
          <w:szCs w:val="24"/>
        </w:rPr>
      </w:pPr>
      <w:r>
        <w:rPr>
          <w:rFonts w:asciiTheme="majorHAnsi" w:hAnsiTheme="majorHAnsi"/>
          <w:sz w:val="24"/>
        </w:rPr>
        <w:t>The DEO is responsible for analyzing the data obtained from the evaluation process and preparing recommendations regarding the improvement of the quality of education and the development of the competencies of persons conducting classes at UV in the area of teaching and in other areas supporting the quality of the education process. Deans are responsible for using the evaluation results in development work with persons conducting classes at UV, in particular through conducting development conversations and supporting the implementation of improvement activities.</w:t>
      </w:r>
    </w:p>
    <w:p w14:paraId="09BDBA90" w14:textId="34815725" w:rsidR="00636D6E" w:rsidRPr="006748AC" w:rsidRDefault="00636D6E" w:rsidP="001577A4">
      <w:pPr>
        <w:pStyle w:val="Nagwek2"/>
      </w:pPr>
      <w:r>
        <w:t>§ 5. [Evaluation Schedule]</w:t>
      </w:r>
    </w:p>
    <w:p w14:paraId="4EAADFDB" w14:textId="3E0DC9B7" w:rsidR="00D2483C" w:rsidRPr="00DA3EBE" w:rsidRDefault="00D2483C" w:rsidP="00DA3EBE">
      <w:pPr>
        <w:pStyle w:val="Akapitzlist"/>
        <w:numPr>
          <w:ilvl w:val="0"/>
          <w:numId w:val="19"/>
        </w:numPr>
        <w:spacing w:before="120" w:after="120" w:line="288" w:lineRule="auto"/>
        <w:rPr>
          <w:rFonts w:asciiTheme="majorHAnsi" w:hAnsiTheme="majorHAnsi" w:cstheme="majorHAnsi"/>
          <w:sz w:val="24"/>
          <w:szCs w:val="24"/>
        </w:rPr>
      </w:pPr>
      <w:r>
        <w:rPr>
          <w:rFonts w:asciiTheme="majorHAnsi" w:hAnsiTheme="majorHAnsi"/>
          <w:sz w:val="24"/>
        </w:rPr>
        <w:t>The evaluation of teaching activities, hereinafter referred to as the “survey” is conducted cyclically, twice per academic year. Evaluation surveys are launched and made available to students after the completion of classes in a given semester.</w:t>
      </w:r>
    </w:p>
    <w:p w14:paraId="0C5AC195" w14:textId="657E6E04" w:rsidR="00D2483C" w:rsidRPr="00DA3EBE" w:rsidRDefault="00D2483C" w:rsidP="00DA3EBE">
      <w:pPr>
        <w:pStyle w:val="Akapitzlist"/>
        <w:numPr>
          <w:ilvl w:val="0"/>
          <w:numId w:val="19"/>
        </w:numPr>
        <w:spacing w:before="120" w:after="120" w:line="288" w:lineRule="auto"/>
        <w:rPr>
          <w:rFonts w:asciiTheme="majorHAnsi" w:hAnsiTheme="majorHAnsi" w:cstheme="majorHAnsi"/>
          <w:sz w:val="24"/>
          <w:szCs w:val="24"/>
        </w:rPr>
      </w:pPr>
      <w:r>
        <w:rPr>
          <w:rFonts w:asciiTheme="majorHAnsi" w:hAnsiTheme="majorHAnsi"/>
          <w:sz w:val="24"/>
        </w:rPr>
        <w:t>Data is collected from the last day of teaching activities for a given course until the end of the examination session in the given semester.</w:t>
      </w:r>
    </w:p>
    <w:p w14:paraId="10C12F9F" w14:textId="5EC390ED" w:rsidR="00D33911" w:rsidRPr="006748AC" w:rsidRDefault="004F1BB7" w:rsidP="001577A4">
      <w:pPr>
        <w:pStyle w:val="Nagwek2"/>
      </w:pPr>
      <w:r>
        <w:t>§ 6. [Tools and Method of Conducting the Evaluation]</w:t>
      </w:r>
    </w:p>
    <w:p w14:paraId="5E4CACF8" w14:textId="64E3ECA5" w:rsidR="00D33911" w:rsidRPr="00DA3EBE" w:rsidRDefault="00D34B9C" w:rsidP="00DA3EBE">
      <w:pPr>
        <w:pStyle w:val="Akapitzlist"/>
        <w:numPr>
          <w:ilvl w:val="0"/>
          <w:numId w:val="21"/>
        </w:numPr>
        <w:spacing w:before="120" w:after="120" w:line="288" w:lineRule="auto"/>
        <w:rPr>
          <w:rFonts w:asciiTheme="majorHAnsi" w:hAnsiTheme="majorHAnsi" w:cstheme="majorHAnsi"/>
          <w:sz w:val="24"/>
          <w:szCs w:val="24"/>
        </w:rPr>
      </w:pPr>
      <w:r>
        <w:rPr>
          <w:rFonts w:asciiTheme="majorHAnsi" w:hAnsiTheme="majorHAnsi"/>
          <w:sz w:val="24"/>
        </w:rPr>
        <w:t>The survey process is conducted using electronic tools available in University’s IT system.</w:t>
      </w:r>
    </w:p>
    <w:p w14:paraId="3E948780" w14:textId="20EC1FDC" w:rsidR="008671EE" w:rsidRPr="00DA3EBE" w:rsidRDefault="008671EE" w:rsidP="00DA3EBE">
      <w:pPr>
        <w:pStyle w:val="Akapitzlist"/>
        <w:numPr>
          <w:ilvl w:val="0"/>
          <w:numId w:val="21"/>
        </w:numPr>
        <w:spacing w:before="120" w:after="120" w:line="288" w:lineRule="auto"/>
        <w:rPr>
          <w:rFonts w:asciiTheme="majorHAnsi" w:hAnsiTheme="majorHAnsi" w:cstheme="majorHAnsi"/>
          <w:sz w:val="24"/>
          <w:szCs w:val="24"/>
        </w:rPr>
      </w:pPr>
      <w:r>
        <w:rPr>
          <w:rFonts w:asciiTheme="majorHAnsi" w:hAnsiTheme="majorHAnsi"/>
          <w:sz w:val="24"/>
        </w:rPr>
        <w:t>The survey process consists of obtaining students' ratings and opinions using an evaluation survey concerning teaching activities and persons conducting classes at UV.</w:t>
      </w:r>
    </w:p>
    <w:p w14:paraId="631F186F" w14:textId="3E4F6EC3" w:rsidR="00D33911" w:rsidRPr="00DA3EBE" w:rsidRDefault="00D33911" w:rsidP="00DA3EBE">
      <w:pPr>
        <w:pStyle w:val="Akapitzlist"/>
        <w:numPr>
          <w:ilvl w:val="0"/>
          <w:numId w:val="21"/>
        </w:numPr>
        <w:spacing w:before="120" w:after="120" w:line="288" w:lineRule="auto"/>
        <w:rPr>
          <w:rFonts w:asciiTheme="majorHAnsi" w:hAnsiTheme="majorHAnsi" w:cstheme="majorHAnsi"/>
          <w:sz w:val="24"/>
          <w:szCs w:val="24"/>
        </w:rPr>
      </w:pPr>
      <w:r>
        <w:rPr>
          <w:rFonts w:asciiTheme="majorHAnsi" w:hAnsiTheme="majorHAnsi"/>
          <w:sz w:val="24"/>
        </w:rPr>
        <w:t>The evaluation survey, made available in University’s IT system, is a source of quantitative data (assessment criteria for classes rated on a 5-point scale) and qualitative data (answers to open-ended questions regarding the strengths and weaknesses of the classes and the way they are conducted).</w:t>
      </w:r>
    </w:p>
    <w:p w14:paraId="3AF9397C" w14:textId="485822FE" w:rsidR="00D33911" w:rsidRPr="00DA3EBE" w:rsidRDefault="00D33911" w:rsidP="00DA3EBE">
      <w:pPr>
        <w:pStyle w:val="Akapitzlist"/>
        <w:numPr>
          <w:ilvl w:val="0"/>
          <w:numId w:val="21"/>
        </w:numPr>
        <w:spacing w:before="120" w:after="120" w:line="288" w:lineRule="auto"/>
        <w:rPr>
          <w:rFonts w:asciiTheme="majorHAnsi" w:hAnsiTheme="majorHAnsi" w:cstheme="majorHAnsi"/>
          <w:sz w:val="24"/>
          <w:szCs w:val="24"/>
        </w:rPr>
      </w:pPr>
      <w:r>
        <w:rPr>
          <w:rFonts w:asciiTheme="majorHAnsi" w:hAnsiTheme="majorHAnsi"/>
          <w:sz w:val="24"/>
        </w:rPr>
        <w:t xml:space="preserve">Quantitative data is analyzed statistically by calculating the arithmetic mean of the ratings given for each criterion, each course, and, overall, for the person conducting the classes being evaluated. Information is also provided on the standard deviation of the ratings and on the number of students who submitted a rating relative to the number of students assigned to a given course. Qualitative data is analyzed </w:t>
      </w:r>
      <w:r>
        <w:rPr>
          <w:rFonts w:asciiTheme="majorHAnsi" w:hAnsiTheme="majorHAnsi"/>
          <w:sz w:val="24"/>
        </w:rPr>
        <w:lastRenderedPageBreak/>
        <w:t>thematically in order to identify, among other things, the strengths and weaknesses of courses and the persons conducting them.</w:t>
      </w:r>
    </w:p>
    <w:p w14:paraId="061F17C0" w14:textId="1D08A30E" w:rsidR="00D33911" w:rsidRPr="00DA3EBE" w:rsidRDefault="006A0FD6" w:rsidP="00DA3EBE">
      <w:pPr>
        <w:pStyle w:val="Akapitzlist"/>
        <w:numPr>
          <w:ilvl w:val="0"/>
          <w:numId w:val="21"/>
        </w:numPr>
        <w:spacing w:before="120" w:after="120" w:line="288" w:lineRule="auto"/>
        <w:rPr>
          <w:rFonts w:asciiTheme="majorHAnsi" w:hAnsiTheme="majorHAnsi" w:cstheme="majorHAnsi"/>
          <w:sz w:val="24"/>
          <w:szCs w:val="24"/>
        </w:rPr>
      </w:pPr>
      <w:r>
        <w:rPr>
          <w:rFonts w:asciiTheme="majorHAnsi" w:hAnsiTheme="majorHAnsi"/>
          <w:sz w:val="24"/>
        </w:rPr>
        <w:t>Students' participation in the survey process is anonymous and voluntary.</w:t>
      </w:r>
    </w:p>
    <w:p w14:paraId="71DEE216" w14:textId="2EACBEAC" w:rsidR="00D82E25" w:rsidRPr="006748AC" w:rsidRDefault="00355BA5" w:rsidP="001577A4">
      <w:pPr>
        <w:pStyle w:val="Nagwek2"/>
      </w:pPr>
      <w:r>
        <w:t>§ 7. [Analysis of Results]</w:t>
      </w:r>
    </w:p>
    <w:p w14:paraId="0E944ED2" w14:textId="715000FE" w:rsidR="00D82E25" w:rsidRPr="00DA3EBE" w:rsidRDefault="006C6C21" w:rsidP="00DA3EBE">
      <w:pPr>
        <w:pStyle w:val="Akapitzlist"/>
        <w:numPr>
          <w:ilvl w:val="0"/>
          <w:numId w:val="23"/>
        </w:numPr>
        <w:spacing w:before="120" w:after="120" w:line="288" w:lineRule="auto"/>
        <w:rPr>
          <w:rFonts w:asciiTheme="majorHAnsi" w:hAnsiTheme="majorHAnsi" w:cstheme="majorHAnsi"/>
          <w:sz w:val="24"/>
          <w:szCs w:val="24"/>
        </w:rPr>
      </w:pPr>
      <w:r>
        <w:rPr>
          <w:rFonts w:asciiTheme="majorHAnsi" w:hAnsiTheme="majorHAnsi"/>
          <w:sz w:val="24"/>
        </w:rPr>
        <w:t>The DEO of UV carries out a quantitative and qualitative analysis of the survey data.</w:t>
      </w:r>
    </w:p>
    <w:p w14:paraId="4B95983F" w14:textId="138419F8" w:rsidR="001A68A3" w:rsidRPr="00DA3EBE" w:rsidRDefault="001A68A3" w:rsidP="00DA3EBE">
      <w:pPr>
        <w:pStyle w:val="Akapitzlist"/>
        <w:numPr>
          <w:ilvl w:val="0"/>
          <w:numId w:val="23"/>
        </w:numPr>
        <w:spacing w:before="120" w:after="120" w:line="288" w:lineRule="auto"/>
        <w:rPr>
          <w:rFonts w:asciiTheme="majorHAnsi" w:hAnsiTheme="majorHAnsi" w:cstheme="majorHAnsi"/>
          <w:sz w:val="24"/>
          <w:szCs w:val="24"/>
        </w:rPr>
      </w:pPr>
      <w:r>
        <w:rPr>
          <w:rFonts w:asciiTheme="majorHAnsi" w:hAnsiTheme="majorHAnsi"/>
          <w:sz w:val="24"/>
        </w:rPr>
        <w:t>The manner of providing feedback on the evaluation results is set out in Procedure No. 3.</w:t>
      </w:r>
    </w:p>
    <w:p w14:paraId="6AA08642" w14:textId="6610C4FF" w:rsidR="00D82E25" w:rsidRPr="006748AC" w:rsidRDefault="00355BA5" w:rsidP="001577A4">
      <w:pPr>
        <w:pStyle w:val="Nagwek2"/>
      </w:pPr>
      <w:r>
        <w:t>§ 8. [Use of Results]</w:t>
      </w:r>
    </w:p>
    <w:p w14:paraId="2B4B861E" w14:textId="0F4EB282" w:rsidR="00775931" w:rsidRPr="002113C7" w:rsidRDefault="00775931" w:rsidP="002113C7">
      <w:pPr>
        <w:pStyle w:val="Akapitzlist"/>
        <w:numPr>
          <w:ilvl w:val="0"/>
          <w:numId w:val="25"/>
        </w:numPr>
        <w:spacing w:before="120" w:after="120" w:line="288" w:lineRule="auto"/>
        <w:rPr>
          <w:rFonts w:asciiTheme="majorHAnsi" w:hAnsiTheme="majorHAnsi" w:cstheme="majorHAnsi"/>
          <w:sz w:val="24"/>
          <w:szCs w:val="24"/>
        </w:rPr>
      </w:pPr>
      <w:r>
        <w:rPr>
          <w:rFonts w:asciiTheme="majorHAnsi" w:hAnsiTheme="majorHAnsi"/>
          <w:sz w:val="24"/>
        </w:rPr>
        <w:t>The results of the survey process form the basis for planning improvement and remedial actions relating to teaching activities conducted at UV.</w:t>
      </w:r>
    </w:p>
    <w:p w14:paraId="0B64F535" w14:textId="78434E3A" w:rsidR="00540C2A" w:rsidRPr="002113C7" w:rsidRDefault="00775931" w:rsidP="002113C7">
      <w:pPr>
        <w:pStyle w:val="Akapitzlist"/>
        <w:numPr>
          <w:ilvl w:val="0"/>
          <w:numId w:val="25"/>
        </w:numPr>
        <w:spacing w:before="120" w:after="120" w:line="288" w:lineRule="auto"/>
        <w:rPr>
          <w:rFonts w:asciiTheme="majorHAnsi" w:hAnsiTheme="majorHAnsi" w:cstheme="majorHAnsi"/>
          <w:sz w:val="24"/>
          <w:szCs w:val="24"/>
        </w:rPr>
      </w:pPr>
      <w:r>
        <w:rPr>
          <w:rFonts w:asciiTheme="majorHAnsi" w:hAnsiTheme="majorHAnsi"/>
          <w:sz w:val="24"/>
        </w:rPr>
        <w:t>On the basis of the survey results and other activities carried out at the University to raise the quality of education, deans decide whether it is necessary to discuss the results with persons conducting classes at UV as part of development conversations, and indicate possible directions for improving the quality of the teaching activities conducted.</w:t>
      </w:r>
    </w:p>
    <w:p w14:paraId="3B1FB098" w14:textId="56DD59DB" w:rsidR="00775931" w:rsidRPr="002113C7" w:rsidRDefault="00195F1F" w:rsidP="002113C7">
      <w:pPr>
        <w:pStyle w:val="Akapitzlist"/>
        <w:numPr>
          <w:ilvl w:val="0"/>
          <w:numId w:val="25"/>
        </w:numPr>
        <w:spacing w:before="120" w:after="120" w:line="288" w:lineRule="auto"/>
        <w:rPr>
          <w:rFonts w:asciiTheme="majorHAnsi" w:hAnsiTheme="majorHAnsi" w:cstheme="majorHAnsi"/>
          <w:sz w:val="24"/>
          <w:szCs w:val="24"/>
        </w:rPr>
      </w:pPr>
      <w:r>
        <w:rPr>
          <w:rFonts w:asciiTheme="majorHAnsi" w:hAnsiTheme="majorHAnsi"/>
          <w:sz w:val="24"/>
        </w:rPr>
        <w:t>Development conversations conducted by deans, or by other persons designated by them, are supportive in nature and serve, in particular, to discuss areas requiring teaching support and to establish improvement actions.</w:t>
      </w:r>
    </w:p>
    <w:p w14:paraId="49C695DA" w14:textId="491CECBF" w:rsidR="00C00B90" w:rsidRPr="002113C7" w:rsidRDefault="00C708F4" w:rsidP="002113C7">
      <w:pPr>
        <w:pStyle w:val="Akapitzlist"/>
        <w:numPr>
          <w:ilvl w:val="0"/>
          <w:numId w:val="25"/>
        </w:numPr>
        <w:spacing w:before="120" w:after="120" w:line="288" w:lineRule="auto"/>
        <w:rPr>
          <w:rFonts w:asciiTheme="majorHAnsi" w:hAnsiTheme="majorHAnsi" w:cstheme="majorHAnsi"/>
          <w:sz w:val="24"/>
          <w:szCs w:val="24"/>
        </w:rPr>
      </w:pPr>
      <w:r>
        <w:rPr>
          <w:rFonts w:asciiTheme="majorHAnsi" w:hAnsiTheme="majorHAnsi"/>
          <w:sz w:val="24"/>
        </w:rPr>
        <w:t>Following the development conversations, deans may submit to the relevant Faculty Committee for the Quality of Education and to the DEO their comments regarding the evaluation process and the conclusions drawn from the development conversations with persons conducting classes at UV, so that the relevant committee and the DEO can prepare any recommendations aimed at raising the quality of education.</w:t>
      </w:r>
    </w:p>
    <w:p w14:paraId="02FCAE75" w14:textId="75B347F4" w:rsidR="00763049" w:rsidRPr="002113C7" w:rsidRDefault="001D4FD9" w:rsidP="002113C7">
      <w:pPr>
        <w:pStyle w:val="Akapitzlist"/>
        <w:numPr>
          <w:ilvl w:val="0"/>
          <w:numId w:val="25"/>
        </w:numPr>
        <w:spacing w:before="120" w:after="120" w:line="288" w:lineRule="auto"/>
        <w:rPr>
          <w:rFonts w:asciiTheme="majorHAnsi" w:hAnsiTheme="majorHAnsi" w:cstheme="majorHAnsi"/>
          <w:sz w:val="24"/>
          <w:szCs w:val="24"/>
        </w:rPr>
      </w:pPr>
      <w:r>
        <w:rPr>
          <w:rFonts w:asciiTheme="majorHAnsi" w:hAnsiTheme="majorHAnsi"/>
          <w:sz w:val="24"/>
        </w:rPr>
        <w:t>Having reviewed the recommendations of the faculty committees, and on the basis of an analysis of training needs reported by persons conducting classes at UV, as well as the results of other activities carried out at UV to raise the quality of education, the DEO develops substantive recommendations regarding the development of the competencies of persons conducting classes at UV, in particular concerning the directions and scope of training, methodological mentoring, supportive class observations, and other improvement activities. The DEO submits the recommendations to the University Council for the Quality of Education.</w:t>
      </w:r>
    </w:p>
    <w:p w14:paraId="729FFDA7" w14:textId="6814AB15" w:rsidR="00D82E25" w:rsidRPr="006748AC" w:rsidRDefault="00355BA5" w:rsidP="001577A4">
      <w:pPr>
        <w:pStyle w:val="Nagwek2"/>
      </w:pPr>
      <w:r>
        <w:t>§ 9. [Final Provisions]</w:t>
      </w:r>
    </w:p>
    <w:p w14:paraId="5C004159" w14:textId="4AC9BDFA" w:rsidR="00710678" w:rsidRPr="002113C7" w:rsidRDefault="002B7057" w:rsidP="002113C7">
      <w:pPr>
        <w:pStyle w:val="Akapitzlist"/>
        <w:numPr>
          <w:ilvl w:val="0"/>
          <w:numId w:val="27"/>
        </w:numPr>
        <w:spacing w:before="120" w:after="120" w:line="288" w:lineRule="auto"/>
        <w:rPr>
          <w:rFonts w:asciiTheme="majorHAnsi" w:hAnsiTheme="majorHAnsi" w:cstheme="majorHAnsi"/>
          <w:sz w:val="24"/>
          <w:szCs w:val="24"/>
        </w:rPr>
      </w:pPr>
      <w:r>
        <w:rPr>
          <w:rFonts w:asciiTheme="majorHAnsi" w:hAnsiTheme="majorHAnsi"/>
          <w:sz w:val="24"/>
        </w:rPr>
        <w:t>Detailed activities and the manner of providing feedback are governed by separate procedures.</w:t>
      </w:r>
    </w:p>
    <w:p w14:paraId="454EFC4A" w14:textId="2D8FF3F4" w:rsidR="00710678" w:rsidRPr="002113C7" w:rsidRDefault="00710678" w:rsidP="002113C7">
      <w:pPr>
        <w:pStyle w:val="Akapitzlist"/>
        <w:numPr>
          <w:ilvl w:val="0"/>
          <w:numId w:val="27"/>
        </w:numPr>
        <w:rPr>
          <w:rFonts w:asciiTheme="majorHAnsi" w:hAnsiTheme="majorHAnsi" w:cstheme="majorHAnsi"/>
          <w:sz w:val="24"/>
          <w:szCs w:val="24"/>
        </w:rPr>
      </w:pPr>
      <w:r>
        <w:rPr>
          <w:rFonts w:asciiTheme="majorHAnsi" w:hAnsiTheme="majorHAnsi"/>
          <w:sz w:val="24"/>
        </w:rPr>
        <w:t>The Procedure shall be updated in the event of circumstances justifying its amendment.</w:t>
      </w:r>
    </w:p>
    <w:p w14:paraId="79639C8E" w14:textId="1B670408" w:rsidR="00D82E25" w:rsidRPr="002113C7" w:rsidRDefault="00355BA5" w:rsidP="002113C7">
      <w:pPr>
        <w:pStyle w:val="Akapitzlist"/>
        <w:numPr>
          <w:ilvl w:val="0"/>
          <w:numId w:val="27"/>
        </w:numPr>
        <w:spacing w:before="120" w:after="120" w:line="288" w:lineRule="auto"/>
        <w:rPr>
          <w:rFonts w:asciiTheme="majorHAnsi" w:hAnsiTheme="majorHAnsi" w:cstheme="majorHAnsi"/>
          <w:sz w:val="24"/>
          <w:szCs w:val="24"/>
        </w:rPr>
      </w:pPr>
      <w:r>
        <w:rPr>
          <w:rFonts w:asciiTheme="majorHAnsi" w:hAnsiTheme="majorHAnsi"/>
          <w:sz w:val="24"/>
        </w:rPr>
        <w:t>The Procedure shall enter into force on the date of its approval.</w:t>
      </w:r>
    </w:p>
    <w:sectPr w:rsidR="00D82E25" w:rsidRPr="002113C7" w:rsidSect="00265EC4">
      <w:footerReference w:type="default" r:id="rId9"/>
      <w:pgSz w:w="11906" w:h="16838" w:code="9"/>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4AF1E" w14:textId="77777777" w:rsidR="00A25396" w:rsidRDefault="00A25396" w:rsidP="008B24F9">
      <w:pPr>
        <w:spacing w:after="0" w:line="240" w:lineRule="auto"/>
      </w:pPr>
      <w:r>
        <w:separator/>
      </w:r>
    </w:p>
  </w:endnote>
  <w:endnote w:type="continuationSeparator" w:id="0">
    <w:p w14:paraId="3C1916A9" w14:textId="77777777" w:rsidR="00A25396" w:rsidRDefault="00A25396" w:rsidP="008B2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0196333"/>
      <w:docPartObj>
        <w:docPartGallery w:val="Page Numbers (Bottom of Page)"/>
        <w:docPartUnique/>
      </w:docPartObj>
    </w:sdtPr>
    <w:sdtEndPr/>
    <w:sdtContent>
      <w:sdt>
        <w:sdtPr>
          <w:id w:val="-1769616900"/>
          <w:docPartObj>
            <w:docPartGallery w:val="Page Numbers (Top of Page)"/>
            <w:docPartUnique/>
          </w:docPartObj>
        </w:sdtPr>
        <w:sdtEndPr/>
        <w:sdtContent>
          <w:p w14:paraId="4DA3F3E8" w14:textId="4C245E83" w:rsidR="008B24F9" w:rsidRDefault="008B24F9">
            <w:pPr>
              <w:pStyle w:val="Stopka"/>
              <w:jc w:val="right"/>
            </w:pPr>
            <w:r>
              <w:rPr>
                <w:rFonts w:asciiTheme="majorHAnsi" w:hAnsiTheme="majorHAnsi"/>
                <w:sz w:val="24"/>
              </w:rPr>
              <w:t xml:space="preserve">Page </w:t>
            </w:r>
            <w:r w:rsidRPr="008B24F9">
              <w:rPr>
                <w:rFonts w:asciiTheme="majorHAnsi" w:hAnsiTheme="majorHAnsi" w:cstheme="majorHAnsi"/>
                <w:b/>
                <w:sz w:val="24"/>
              </w:rPr>
              <w:fldChar w:fldCharType="begin"/>
            </w:r>
            <w:r w:rsidRPr="008B24F9">
              <w:rPr>
                <w:rFonts w:asciiTheme="majorHAnsi" w:hAnsiTheme="majorHAnsi" w:cstheme="majorHAnsi"/>
                <w:b/>
                <w:sz w:val="24"/>
              </w:rPr>
              <w:instrText>PAGE</w:instrText>
            </w:r>
            <w:r w:rsidRPr="008B24F9">
              <w:rPr>
                <w:rFonts w:asciiTheme="majorHAnsi" w:hAnsiTheme="majorHAnsi" w:cstheme="majorHAnsi"/>
                <w:b/>
                <w:sz w:val="24"/>
              </w:rPr>
              <w:fldChar w:fldCharType="separate"/>
            </w:r>
            <w:r w:rsidRPr="008B24F9">
              <w:rPr>
                <w:rFonts w:asciiTheme="majorHAnsi" w:hAnsiTheme="majorHAnsi" w:cstheme="majorHAnsi"/>
                <w:b/>
                <w:sz w:val="24"/>
              </w:rPr>
              <w:t>2</w:t>
            </w:r>
            <w:r w:rsidRPr="008B24F9">
              <w:rPr>
                <w:rFonts w:asciiTheme="majorHAnsi" w:hAnsiTheme="majorHAnsi" w:cstheme="majorHAnsi"/>
                <w:b/>
                <w:sz w:val="24"/>
              </w:rPr>
              <w:fldChar w:fldCharType="end"/>
            </w:r>
            <w:r>
              <w:rPr>
                <w:rFonts w:asciiTheme="majorHAnsi" w:hAnsiTheme="majorHAnsi"/>
                <w:sz w:val="24"/>
              </w:rPr>
              <w:t xml:space="preserve"> of </w:t>
            </w:r>
            <w:r w:rsidRPr="008B24F9">
              <w:rPr>
                <w:rFonts w:asciiTheme="majorHAnsi" w:hAnsiTheme="majorHAnsi" w:cstheme="majorHAnsi"/>
                <w:b/>
                <w:sz w:val="24"/>
              </w:rPr>
              <w:fldChar w:fldCharType="begin"/>
            </w:r>
            <w:r w:rsidRPr="008B24F9">
              <w:rPr>
                <w:rFonts w:asciiTheme="majorHAnsi" w:hAnsiTheme="majorHAnsi" w:cstheme="majorHAnsi"/>
                <w:b/>
                <w:sz w:val="24"/>
              </w:rPr>
              <w:instrText>NUMPAGES</w:instrText>
            </w:r>
            <w:r w:rsidRPr="008B24F9">
              <w:rPr>
                <w:rFonts w:asciiTheme="majorHAnsi" w:hAnsiTheme="majorHAnsi" w:cstheme="majorHAnsi"/>
                <w:b/>
                <w:sz w:val="24"/>
              </w:rPr>
              <w:fldChar w:fldCharType="separate"/>
            </w:r>
            <w:r w:rsidRPr="008B24F9">
              <w:rPr>
                <w:rFonts w:asciiTheme="majorHAnsi" w:hAnsiTheme="majorHAnsi" w:cstheme="majorHAnsi"/>
                <w:b/>
                <w:sz w:val="24"/>
              </w:rPr>
              <w:t>2</w:t>
            </w:r>
            <w:r w:rsidRPr="008B24F9">
              <w:rPr>
                <w:rFonts w:asciiTheme="majorHAnsi" w:hAnsiTheme="majorHAnsi" w:cstheme="majorHAnsi"/>
                <w:b/>
                <w:sz w:val="24"/>
              </w:rPr>
              <w:fldChar w:fldCharType="end"/>
            </w:r>
          </w:p>
        </w:sdtContent>
      </w:sdt>
    </w:sdtContent>
  </w:sdt>
  <w:p w14:paraId="00612050" w14:textId="77777777" w:rsidR="008B24F9" w:rsidRDefault="008B24F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1BE86" w14:textId="77777777" w:rsidR="00A25396" w:rsidRDefault="00A25396" w:rsidP="008B24F9">
      <w:pPr>
        <w:spacing w:after="0" w:line="240" w:lineRule="auto"/>
      </w:pPr>
      <w:r>
        <w:separator/>
      </w:r>
    </w:p>
  </w:footnote>
  <w:footnote w:type="continuationSeparator" w:id="0">
    <w:p w14:paraId="20DDA23D" w14:textId="77777777" w:rsidR="00A25396" w:rsidRDefault="00A25396" w:rsidP="008B2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02C46C3"/>
    <w:multiLevelType w:val="hybridMultilevel"/>
    <w:tmpl w:val="49B072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1513CFC"/>
    <w:multiLevelType w:val="hybridMultilevel"/>
    <w:tmpl w:val="B0A0A0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40C728C"/>
    <w:multiLevelType w:val="hybridMultilevel"/>
    <w:tmpl w:val="7E4A3E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92B7192"/>
    <w:multiLevelType w:val="hybridMultilevel"/>
    <w:tmpl w:val="A4A280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9A249E9"/>
    <w:multiLevelType w:val="hybridMultilevel"/>
    <w:tmpl w:val="2CB6BE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615479C"/>
    <w:multiLevelType w:val="hybridMultilevel"/>
    <w:tmpl w:val="939C3A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D870B77"/>
    <w:multiLevelType w:val="hybridMultilevel"/>
    <w:tmpl w:val="C1B250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647363"/>
    <w:multiLevelType w:val="hybridMultilevel"/>
    <w:tmpl w:val="D4CE73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DD4488B"/>
    <w:multiLevelType w:val="hybridMultilevel"/>
    <w:tmpl w:val="F7AAF69E"/>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305D4D"/>
    <w:multiLevelType w:val="hybridMultilevel"/>
    <w:tmpl w:val="22488D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A01A46"/>
    <w:multiLevelType w:val="hybridMultilevel"/>
    <w:tmpl w:val="0D4A55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59C6599"/>
    <w:multiLevelType w:val="hybridMultilevel"/>
    <w:tmpl w:val="D84EBA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F44326"/>
    <w:multiLevelType w:val="hybridMultilevel"/>
    <w:tmpl w:val="AFBAF7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3D546AF"/>
    <w:multiLevelType w:val="hybridMultilevel"/>
    <w:tmpl w:val="3C9CA1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6332C99"/>
    <w:multiLevelType w:val="hybridMultilevel"/>
    <w:tmpl w:val="D506CB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C3F30E7"/>
    <w:multiLevelType w:val="hybridMultilevel"/>
    <w:tmpl w:val="B81A5D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56E4222"/>
    <w:multiLevelType w:val="hybridMultilevel"/>
    <w:tmpl w:val="855A76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5965765"/>
    <w:multiLevelType w:val="hybridMultilevel"/>
    <w:tmpl w:val="E8884A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62953920">
    <w:abstractNumId w:val="8"/>
  </w:num>
  <w:num w:numId="2" w16cid:durableId="886457563">
    <w:abstractNumId w:val="6"/>
  </w:num>
  <w:num w:numId="3" w16cid:durableId="1527795727">
    <w:abstractNumId w:val="5"/>
  </w:num>
  <w:num w:numId="4" w16cid:durableId="2024893361">
    <w:abstractNumId w:val="4"/>
  </w:num>
  <w:num w:numId="5" w16cid:durableId="1813596514">
    <w:abstractNumId w:val="7"/>
  </w:num>
  <w:num w:numId="6" w16cid:durableId="1753045393">
    <w:abstractNumId w:val="3"/>
  </w:num>
  <w:num w:numId="7" w16cid:durableId="1555774051">
    <w:abstractNumId w:val="2"/>
  </w:num>
  <w:num w:numId="8" w16cid:durableId="1268732876">
    <w:abstractNumId w:val="1"/>
  </w:num>
  <w:num w:numId="9" w16cid:durableId="1075779885">
    <w:abstractNumId w:val="0"/>
  </w:num>
  <w:num w:numId="10" w16cid:durableId="1927033631">
    <w:abstractNumId w:val="23"/>
  </w:num>
  <w:num w:numId="11" w16cid:durableId="146870619">
    <w:abstractNumId w:val="13"/>
  </w:num>
  <w:num w:numId="12" w16cid:durableId="1544563739">
    <w:abstractNumId w:val="16"/>
  </w:num>
  <w:num w:numId="13" w16cid:durableId="1174800152">
    <w:abstractNumId w:val="19"/>
  </w:num>
  <w:num w:numId="14" w16cid:durableId="932514308">
    <w:abstractNumId w:val="11"/>
  </w:num>
  <w:num w:numId="15" w16cid:durableId="1530139471">
    <w:abstractNumId w:val="17"/>
  </w:num>
  <w:num w:numId="16" w16cid:durableId="1831753385">
    <w:abstractNumId w:val="26"/>
  </w:num>
  <w:num w:numId="17" w16cid:durableId="386805472">
    <w:abstractNumId w:val="15"/>
  </w:num>
  <w:num w:numId="18" w16cid:durableId="326401916">
    <w:abstractNumId w:val="25"/>
  </w:num>
  <w:num w:numId="19" w16cid:durableId="1999964432">
    <w:abstractNumId w:val="14"/>
  </w:num>
  <w:num w:numId="20" w16cid:durableId="1629778847">
    <w:abstractNumId w:val="20"/>
  </w:num>
  <w:num w:numId="21" w16cid:durableId="636185375">
    <w:abstractNumId w:val="9"/>
  </w:num>
  <w:num w:numId="22" w16cid:durableId="39403744">
    <w:abstractNumId w:val="21"/>
  </w:num>
  <w:num w:numId="23" w16cid:durableId="112215195">
    <w:abstractNumId w:val="22"/>
  </w:num>
  <w:num w:numId="24" w16cid:durableId="176240215">
    <w:abstractNumId w:val="24"/>
  </w:num>
  <w:num w:numId="25" w16cid:durableId="626787650">
    <w:abstractNumId w:val="12"/>
  </w:num>
  <w:num w:numId="26" w16cid:durableId="1628047848">
    <w:abstractNumId w:val="18"/>
  </w:num>
  <w:num w:numId="27" w16cid:durableId="20146467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BBF"/>
    <w:rsid w:val="00034616"/>
    <w:rsid w:val="00041AD3"/>
    <w:rsid w:val="00043569"/>
    <w:rsid w:val="00043C0D"/>
    <w:rsid w:val="00046A9B"/>
    <w:rsid w:val="00047E10"/>
    <w:rsid w:val="0006063C"/>
    <w:rsid w:val="00061133"/>
    <w:rsid w:val="0007001A"/>
    <w:rsid w:val="00084998"/>
    <w:rsid w:val="0008687D"/>
    <w:rsid w:val="000B12D2"/>
    <w:rsid w:val="000B2495"/>
    <w:rsid w:val="000B74B0"/>
    <w:rsid w:val="000E2A30"/>
    <w:rsid w:val="00140CC9"/>
    <w:rsid w:val="00144FE9"/>
    <w:rsid w:val="0015074B"/>
    <w:rsid w:val="001577A4"/>
    <w:rsid w:val="00162541"/>
    <w:rsid w:val="001650C3"/>
    <w:rsid w:val="00166566"/>
    <w:rsid w:val="00195F1F"/>
    <w:rsid w:val="001A1914"/>
    <w:rsid w:val="001A68A3"/>
    <w:rsid w:val="001B1B77"/>
    <w:rsid w:val="001B1F57"/>
    <w:rsid w:val="001B456B"/>
    <w:rsid w:val="001D34DE"/>
    <w:rsid w:val="001D4FD9"/>
    <w:rsid w:val="001D5068"/>
    <w:rsid w:val="001D5E1B"/>
    <w:rsid w:val="001E1660"/>
    <w:rsid w:val="001E27BE"/>
    <w:rsid w:val="001E35CA"/>
    <w:rsid w:val="001F6C8E"/>
    <w:rsid w:val="002113C7"/>
    <w:rsid w:val="00212AA5"/>
    <w:rsid w:val="00220ADA"/>
    <w:rsid w:val="00225BC1"/>
    <w:rsid w:val="00240358"/>
    <w:rsid w:val="00265EC4"/>
    <w:rsid w:val="002711AB"/>
    <w:rsid w:val="00275B33"/>
    <w:rsid w:val="0029639D"/>
    <w:rsid w:val="002A36F9"/>
    <w:rsid w:val="002B357F"/>
    <w:rsid w:val="002B7057"/>
    <w:rsid w:val="002C1F1C"/>
    <w:rsid w:val="002C3C88"/>
    <w:rsid w:val="002C3EBB"/>
    <w:rsid w:val="002D15FE"/>
    <w:rsid w:val="002E206D"/>
    <w:rsid w:val="002F4629"/>
    <w:rsid w:val="00306224"/>
    <w:rsid w:val="003144BC"/>
    <w:rsid w:val="0031739A"/>
    <w:rsid w:val="00320D7D"/>
    <w:rsid w:val="00324C6C"/>
    <w:rsid w:val="00325A63"/>
    <w:rsid w:val="00326F90"/>
    <w:rsid w:val="003356E4"/>
    <w:rsid w:val="003363E8"/>
    <w:rsid w:val="00355BA5"/>
    <w:rsid w:val="00363E13"/>
    <w:rsid w:val="003708E6"/>
    <w:rsid w:val="00391BDE"/>
    <w:rsid w:val="00394254"/>
    <w:rsid w:val="003A346C"/>
    <w:rsid w:val="003A6908"/>
    <w:rsid w:val="003A7937"/>
    <w:rsid w:val="003B015F"/>
    <w:rsid w:val="003B0F2F"/>
    <w:rsid w:val="003C1479"/>
    <w:rsid w:val="003C4B73"/>
    <w:rsid w:val="003D0BF4"/>
    <w:rsid w:val="003D68DB"/>
    <w:rsid w:val="003E25F8"/>
    <w:rsid w:val="003F10A4"/>
    <w:rsid w:val="003F3788"/>
    <w:rsid w:val="0041391E"/>
    <w:rsid w:val="00437076"/>
    <w:rsid w:val="00441FFC"/>
    <w:rsid w:val="0046536E"/>
    <w:rsid w:val="00470C7F"/>
    <w:rsid w:val="0047498D"/>
    <w:rsid w:val="004775DC"/>
    <w:rsid w:val="004863B3"/>
    <w:rsid w:val="00487803"/>
    <w:rsid w:val="00491F4F"/>
    <w:rsid w:val="004924E4"/>
    <w:rsid w:val="004A3B25"/>
    <w:rsid w:val="004C5AB3"/>
    <w:rsid w:val="004D4311"/>
    <w:rsid w:val="004D75A6"/>
    <w:rsid w:val="004E3B3A"/>
    <w:rsid w:val="004F1BB7"/>
    <w:rsid w:val="004F46D9"/>
    <w:rsid w:val="0051137E"/>
    <w:rsid w:val="0051706E"/>
    <w:rsid w:val="00523107"/>
    <w:rsid w:val="005258A6"/>
    <w:rsid w:val="0053701E"/>
    <w:rsid w:val="00540C2A"/>
    <w:rsid w:val="00560F3B"/>
    <w:rsid w:val="005627AE"/>
    <w:rsid w:val="005751CE"/>
    <w:rsid w:val="00575A0B"/>
    <w:rsid w:val="00593DE0"/>
    <w:rsid w:val="00596F89"/>
    <w:rsid w:val="005A1228"/>
    <w:rsid w:val="005A44F0"/>
    <w:rsid w:val="005B39C9"/>
    <w:rsid w:val="005D09BB"/>
    <w:rsid w:val="005D313F"/>
    <w:rsid w:val="005E133F"/>
    <w:rsid w:val="005E3132"/>
    <w:rsid w:val="005E5FBB"/>
    <w:rsid w:val="00607BAA"/>
    <w:rsid w:val="0061297C"/>
    <w:rsid w:val="00622523"/>
    <w:rsid w:val="00626C64"/>
    <w:rsid w:val="00635EA1"/>
    <w:rsid w:val="00636D6E"/>
    <w:rsid w:val="006411F2"/>
    <w:rsid w:val="006427AF"/>
    <w:rsid w:val="00650B36"/>
    <w:rsid w:val="00662A55"/>
    <w:rsid w:val="0067211C"/>
    <w:rsid w:val="006748AC"/>
    <w:rsid w:val="00677D3B"/>
    <w:rsid w:val="006919F8"/>
    <w:rsid w:val="00694506"/>
    <w:rsid w:val="006A0FD6"/>
    <w:rsid w:val="006A110E"/>
    <w:rsid w:val="006C6C21"/>
    <w:rsid w:val="006D3DAE"/>
    <w:rsid w:val="006F1C20"/>
    <w:rsid w:val="006F5311"/>
    <w:rsid w:val="00710678"/>
    <w:rsid w:val="0071487D"/>
    <w:rsid w:val="00732374"/>
    <w:rsid w:val="00734C25"/>
    <w:rsid w:val="00750FBD"/>
    <w:rsid w:val="00763049"/>
    <w:rsid w:val="00764DD9"/>
    <w:rsid w:val="007725A1"/>
    <w:rsid w:val="00775931"/>
    <w:rsid w:val="007769F4"/>
    <w:rsid w:val="0078224B"/>
    <w:rsid w:val="007B2BA3"/>
    <w:rsid w:val="007B4DC9"/>
    <w:rsid w:val="007C01F6"/>
    <w:rsid w:val="007C2185"/>
    <w:rsid w:val="007C5B0E"/>
    <w:rsid w:val="007D6895"/>
    <w:rsid w:val="007F357B"/>
    <w:rsid w:val="0080027F"/>
    <w:rsid w:val="00805D57"/>
    <w:rsid w:val="008202C8"/>
    <w:rsid w:val="00845F34"/>
    <w:rsid w:val="00857B84"/>
    <w:rsid w:val="0086021F"/>
    <w:rsid w:val="008671EE"/>
    <w:rsid w:val="00875A82"/>
    <w:rsid w:val="00880FFC"/>
    <w:rsid w:val="00881A74"/>
    <w:rsid w:val="0088595A"/>
    <w:rsid w:val="008903BB"/>
    <w:rsid w:val="008908FF"/>
    <w:rsid w:val="00893306"/>
    <w:rsid w:val="008B24F9"/>
    <w:rsid w:val="008C042A"/>
    <w:rsid w:val="008C5336"/>
    <w:rsid w:val="008C6B7F"/>
    <w:rsid w:val="008D1AA4"/>
    <w:rsid w:val="008D5933"/>
    <w:rsid w:val="008E1284"/>
    <w:rsid w:val="008E6ED8"/>
    <w:rsid w:val="008F43B2"/>
    <w:rsid w:val="008F440F"/>
    <w:rsid w:val="008F4AE9"/>
    <w:rsid w:val="008F5D49"/>
    <w:rsid w:val="00907157"/>
    <w:rsid w:val="0092214B"/>
    <w:rsid w:val="00922F4D"/>
    <w:rsid w:val="00925EEC"/>
    <w:rsid w:val="00941F6C"/>
    <w:rsid w:val="00950D8C"/>
    <w:rsid w:val="009A7247"/>
    <w:rsid w:val="009C459C"/>
    <w:rsid w:val="009D2442"/>
    <w:rsid w:val="009D6821"/>
    <w:rsid w:val="009E215E"/>
    <w:rsid w:val="00A03804"/>
    <w:rsid w:val="00A05B12"/>
    <w:rsid w:val="00A1032F"/>
    <w:rsid w:val="00A1075A"/>
    <w:rsid w:val="00A13C62"/>
    <w:rsid w:val="00A25396"/>
    <w:rsid w:val="00A26265"/>
    <w:rsid w:val="00A3067A"/>
    <w:rsid w:val="00A3486F"/>
    <w:rsid w:val="00A37713"/>
    <w:rsid w:val="00A402E1"/>
    <w:rsid w:val="00A530B0"/>
    <w:rsid w:val="00A53C7B"/>
    <w:rsid w:val="00A55592"/>
    <w:rsid w:val="00A66DC4"/>
    <w:rsid w:val="00A9581D"/>
    <w:rsid w:val="00AA1D8D"/>
    <w:rsid w:val="00AA6605"/>
    <w:rsid w:val="00AB5E3D"/>
    <w:rsid w:val="00AC0AC4"/>
    <w:rsid w:val="00AC0D28"/>
    <w:rsid w:val="00AD4846"/>
    <w:rsid w:val="00AD67A1"/>
    <w:rsid w:val="00AF63C5"/>
    <w:rsid w:val="00AF6ECB"/>
    <w:rsid w:val="00B11D63"/>
    <w:rsid w:val="00B1305C"/>
    <w:rsid w:val="00B4490F"/>
    <w:rsid w:val="00B47730"/>
    <w:rsid w:val="00B560B5"/>
    <w:rsid w:val="00B56E22"/>
    <w:rsid w:val="00B60CE4"/>
    <w:rsid w:val="00B61315"/>
    <w:rsid w:val="00B62BF1"/>
    <w:rsid w:val="00B7597E"/>
    <w:rsid w:val="00B93E91"/>
    <w:rsid w:val="00B95A46"/>
    <w:rsid w:val="00B9666E"/>
    <w:rsid w:val="00BB5768"/>
    <w:rsid w:val="00BC019A"/>
    <w:rsid w:val="00BC7479"/>
    <w:rsid w:val="00BE3880"/>
    <w:rsid w:val="00C00B90"/>
    <w:rsid w:val="00C12AC8"/>
    <w:rsid w:val="00C2087B"/>
    <w:rsid w:val="00C23DF7"/>
    <w:rsid w:val="00C30547"/>
    <w:rsid w:val="00C60A3B"/>
    <w:rsid w:val="00C708F4"/>
    <w:rsid w:val="00C92D29"/>
    <w:rsid w:val="00C95056"/>
    <w:rsid w:val="00C95F73"/>
    <w:rsid w:val="00CA37C4"/>
    <w:rsid w:val="00CB0664"/>
    <w:rsid w:val="00CB3670"/>
    <w:rsid w:val="00CD26D7"/>
    <w:rsid w:val="00CE345E"/>
    <w:rsid w:val="00CF01CF"/>
    <w:rsid w:val="00D2483C"/>
    <w:rsid w:val="00D25BD4"/>
    <w:rsid w:val="00D31C67"/>
    <w:rsid w:val="00D33911"/>
    <w:rsid w:val="00D34B9C"/>
    <w:rsid w:val="00D34CCA"/>
    <w:rsid w:val="00D3528E"/>
    <w:rsid w:val="00D42D20"/>
    <w:rsid w:val="00D47DF0"/>
    <w:rsid w:val="00D5008E"/>
    <w:rsid w:val="00D50A34"/>
    <w:rsid w:val="00D54470"/>
    <w:rsid w:val="00D60027"/>
    <w:rsid w:val="00D74DFA"/>
    <w:rsid w:val="00D82E25"/>
    <w:rsid w:val="00D8714E"/>
    <w:rsid w:val="00D97850"/>
    <w:rsid w:val="00DA3EBE"/>
    <w:rsid w:val="00DB63B0"/>
    <w:rsid w:val="00DC2B10"/>
    <w:rsid w:val="00DC5DE9"/>
    <w:rsid w:val="00DC6DD5"/>
    <w:rsid w:val="00DD4F58"/>
    <w:rsid w:val="00DD6BE2"/>
    <w:rsid w:val="00E00679"/>
    <w:rsid w:val="00E00AC8"/>
    <w:rsid w:val="00E02FFE"/>
    <w:rsid w:val="00E06978"/>
    <w:rsid w:val="00E3768A"/>
    <w:rsid w:val="00E37B69"/>
    <w:rsid w:val="00E41C54"/>
    <w:rsid w:val="00E50DA7"/>
    <w:rsid w:val="00E51813"/>
    <w:rsid w:val="00E628C1"/>
    <w:rsid w:val="00E663FF"/>
    <w:rsid w:val="00E70287"/>
    <w:rsid w:val="00E70BFC"/>
    <w:rsid w:val="00EA18B0"/>
    <w:rsid w:val="00EA1E90"/>
    <w:rsid w:val="00EB1B79"/>
    <w:rsid w:val="00EB2C97"/>
    <w:rsid w:val="00EC1AFA"/>
    <w:rsid w:val="00EE0E80"/>
    <w:rsid w:val="00EE4C0B"/>
    <w:rsid w:val="00EE7ECA"/>
    <w:rsid w:val="00EF721E"/>
    <w:rsid w:val="00F004BC"/>
    <w:rsid w:val="00F024EA"/>
    <w:rsid w:val="00F025A0"/>
    <w:rsid w:val="00F13A6D"/>
    <w:rsid w:val="00F328FC"/>
    <w:rsid w:val="00F44739"/>
    <w:rsid w:val="00F55A7C"/>
    <w:rsid w:val="00F573FC"/>
    <w:rsid w:val="00F660A8"/>
    <w:rsid w:val="00F73092"/>
    <w:rsid w:val="00F8034A"/>
    <w:rsid w:val="00FB1098"/>
    <w:rsid w:val="00FC3297"/>
    <w:rsid w:val="00FC693F"/>
    <w:rsid w:val="00FD7B49"/>
    <w:rsid w:val="00FE612C"/>
    <w:rsid w:val="00FF14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656B3E3"/>
  <w14:defaultImageDpi w14:val="300"/>
  <w15:docId w15:val="{EA3E06CC-37AD-4B34-AE85-DB4DDE7A1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style>
  <w:style w:type="paragraph" w:styleId="Nagwek1">
    <w:name w:val="heading 1"/>
    <w:basedOn w:val="Normalny"/>
    <w:next w:val="Normalny"/>
    <w:link w:val="Nagwek1Znak"/>
    <w:uiPriority w:val="9"/>
    <w:qFormat/>
    <w:rsid w:val="00437076"/>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Nagwek2">
    <w:name w:val="heading 2"/>
    <w:basedOn w:val="Normalny"/>
    <w:next w:val="Normalny"/>
    <w:link w:val="Nagwek2Znak"/>
    <w:uiPriority w:val="9"/>
    <w:unhideWhenUsed/>
    <w:qFormat/>
    <w:rsid w:val="00437076"/>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437076"/>
    <w:rPr>
      <w:rFonts w:asciiTheme="majorHAnsi" w:eastAsiaTheme="majorEastAsia" w:hAnsiTheme="majorHAnsi" w:cstheme="majorBidi"/>
      <w:b/>
      <w:bCs/>
      <w:color w:val="000000" w:themeColor="text1"/>
      <w:sz w:val="28"/>
      <w:szCs w:val="28"/>
    </w:rPr>
  </w:style>
  <w:style w:type="character" w:customStyle="1" w:styleId="Nagwek2Znak">
    <w:name w:val="Nagłówek 2 Znak"/>
    <w:basedOn w:val="Domylnaczcionkaakapitu"/>
    <w:link w:val="Nagwek2"/>
    <w:uiPriority w:val="9"/>
    <w:rsid w:val="00437076"/>
    <w:rPr>
      <w:rFonts w:asciiTheme="majorHAnsi" w:eastAsiaTheme="majorEastAsia" w:hAnsiTheme="majorHAnsi" w:cstheme="majorBidi"/>
      <w:b/>
      <w:bCs/>
      <w:color w:val="000000" w:themeColor="tex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nyWeb">
    <w:name w:val="Normal (Web)"/>
    <w:basedOn w:val="Normalny"/>
    <w:uiPriority w:val="99"/>
    <w:unhideWhenUsed/>
    <w:rsid w:val="008F4AE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komentarza">
    <w:name w:val="annotation text"/>
    <w:basedOn w:val="Normalny"/>
    <w:link w:val="TekstkomentarzaZnak"/>
    <w:uiPriority w:val="99"/>
    <w:semiHidden/>
    <w:unhideWhenUsed/>
    <w:rsid w:val="00D339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33911"/>
    <w:rPr>
      <w:sz w:val="20"/>
      <w:szCs w:val="20"/>
    </w:rPr>
  </w:style>
  <w:style w:type="character" w:styleId="Odwoaniedokomentarza">
    <w:name w:val="annotation reference"/>
    <w:basedOn w:val="Domylnaczcionkaakapitu"/>
    <w:uiPriority w:val="99"/>
    <w:semiHidden/>
    <w:unhideWhenUsed/>
    <w:rsid w:val="00D33911"/>
    <w:rPr>
      <w:sz w:val="16"/>
      <w:szCs w:val="16"/>
    </w:rPr>
  </w:style>
  <w:style w:type="paragraph" w:styleId="Tekstdymka">
    <w:name w:val="Balloon Text"/>
    <w:basedOn w:val="Normalny"/>
    <w:link w:val="TekstdymkaZnak"/>
    <w:uiPriority w:val="99"/>
    <w:semiHidden/>
    <w:unhideWhenUsed/>
    <w:rsid w:val="00D3391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33911"/>
    <w:rPr>
      <w:rFonts w:ascii="Segoe UI" w:hAnsi="Segoe UI" w:cs="Segoe UI"/>
      <w:sz w:val="18"/>
      <w:szCs w:val="18"/>
    </w:rPr>
  </w:style>
  <w:style w:type="paragraph" w:styleId="Poprawka">
    <w:name w:val="Revision"/>
    <w:hidden/>
    <w:uiPriority w:val="99"/>
    <w:semiHidden/>
    <w:rsid w:val="003F10A4"/>
    <w:pPr>
      <w:spacing w:after="0" w:line="240" w:lineRule="auto"/>
    </w:pPr>
  </w:style>
  <w:style w:type="paragraph" w:styleId="Tematkomentarza">
    <w:name w:val="annotation subject"/>
    <w:basedOn w:val="Tekstkomentarza"/>
    <w:next w:val="Tekstkomentarza"/>
    <w:link w:val="TematkomentarzaZnak"/>
    <w:uiPriority w:val="99"/>
    <w:semiHidden/>
    <w:unhideWhenUsed/>
    <w:rsid w:val="00750FBD"/>
    <w:rPr>
      <w:b/>
      <w:bCs/>
    </w:rPr>
  </w:style>
  <w:style w:type="character" w:customStyle="1" w:styleId="TematkomentarzaZnak">
    <w:name w:val="Temat komentarza Znak"/>
    <w:basedOn w:val="TekstkomentarzaZnak"/>
    <w:link w:val="Tematkomentarza"/>
    <w:uiPriority w:val="99"/>
    <w:semiHidden/>
    <w:rsid w:val="00750FBD"/>
    <w:rPr>
      <w:b/>
      <w:bCs/>
      <w:sz w:val="20"/>
      <w:szCs w:val="20"/>
    </w:rPr>
  </w:style>
  <w:style w:type="paragraph" w:styleId="Spistreci1">
    <w:name w:val="toc 1"/>
    <w:basedOn w:val="Normalny"/>
    <w:next w:val="Normalny"/>
    <w:autoRedefine/>
    <w:uiPriority w:val="39"/>
    <w:unhideWhenUsed/>
    <w:rsid w:val="00D5008E"/>
    <w:pPr>
      <w:spacing w:after="100"/>
    </w:pPr>
  </w:style>
  <w:style w:type="paragraph" w:styleId="Spistreci2">
    <w:name w:val="toc 2"/>
    <w:basedOn w:val="Normalny"/>
    <w:next w:val="Normalny"/>
    <w:autoRedefine/>
    <w:uiPriority w:val="39"/>
    <w:unhideWhenUsed/>
    <w:rsid w:val="00D5008E"/>
    <w:pPr>
      <w:spacing w:after="100"/>
      <w:ind w:left="220"/>
    </w:pPr>
  </w:style>
  <w:style w:type="character" w:styleId="Hipercze">
    <w:name w:val="Hyperlink"/>
    <w:basedOn w:val="Domylnaczcionkaakapitu"/>
    <w:uiPriority w:val="99"/>
    <w:unhideWhenUsed/>
    <w:rsid w:val="00D500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538834">
      <w:bodyDiv w:val="1"/>
      <w:marLeft w:val="0"/>
      <w:marRight w:val="0"/>
      <w:marTop w:val="0"/>
      <w:marBottom w:val="0"/>
      <w:divBdr>
        <w:top w:val="none" w:sz="0" w:space="0" w:color="auto"/>
        <w:left w:val="none" w:sz="0" w:space="0" w:color="auto"/>
        <w:bottom w:val="none" w:sz="0" w:space="0" w:color="auto"/>
        <w:right w:val="none" w:sz="0" w:space="0" w:color="auto"/>
      </w:divBdr>
    </w:div>
    <w:div w:id="314845221">
      <w:bodyDiv w:val="1"/>
      <w:marLeft w:val="0"/>
      <w:marRight w:val="0"/>
      <w:marTop w:val="0"/>
      <w:marBottom w:val="0"/>
      <w:divBdr>
        <w:top w:val="none" w:sz="0" w:space="0" w:color="auto"/>
        <w:left w:val="none" w:sz="0" w:space="0" w:color="auto"/>
        <w:bottom w:val="none" w:sz="0" w:space="0" w:color="auto"/>
        <w:right w:val="none" w:sz="0" w:space="0" w:color="auto"/>
      </w:divBdr>
    </w:div>
    <w:div w:id="15900444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A7BDE-A3E0-4282-8988-BDF0B98A2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4</Pages>
  <Words>962</Words>
  <Characters>5773</Characters>
  <Application>Microsoft Office Word</Application>
  <DocSecurity>0</DocSecurity>
  <Lines>48</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Procedura nr 1 Cykliczna ewaluacja zajęć dydaktycznych</vt:lpstr>
      <vt:lpstr/>
    </vt:vector>
  </TitlesOfParts>
  <Manager/>
  <Company/>
  <LinksUpToDate>false</LinksUpToDate>
  <CharactersWithSpaces>6722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nr 1 Cykliczna ewaluacja zajęć dydaktycznych</dc:title>
  <dc:subject/>
  <dc:creator>Biuro Doskonałości Dydaktycznej;Uniwersytet VIZJA</dc:creator>
  <cp:keywords>BDD, potrzeby szkoleniowe, dydaktyka, Uniwersytet VIZJA, formularz dostępny</cp:keywords>
  <dc:description>Procedura nr 1 Cykliczna ewaluacja zajęć dydaktycznych</dc:description>
  <cp:lastModifiedBy>Kamila Płochocka ADM</cp:lastModifiedBy>
  <cp:revision>61</cp:revision>
  <cp:lastPrinted>2026-08-05T07:11:00Z</cp:lastPrinted>
  <dcterms:created xsi:type="dcterms:W3CDTF">2026-07-22T08:13:00Z</dcterms:created>
  <dcterms:modified xsi:type="dcterms:W3CDTF">2026-10-09T07:15:00Z</dcterms:modified>
  <cp:category/>
</cp:coreProperties>
</file>