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8B103" w14:textId="71693EE0" w:rsidR="00D77C98" w:rsidRPr="00FA7199" w:rsidRDefault="00144CD5" w:rsidP="00FA7199">
      <w:pPr>
        <w:spacing w:before="120" w:after="0"/>
        <w:rPr>
          <w:color w:val="000000" w:themeColor="text1"/>
          <w:szCs w:val="24"/>
          <w:rFonts w:asciiTheme="majorHAnsi" w:hAnsiTheme="majorHAnsi" w:cstheme="majorHAnsi"/>
        </w:rPr>
      </w:pPr>
      <w:r>
        <w:rPr>
          <w:color w:val="000000" w:themeColor="text1"/>
          <w:rFonts w:asciiTheme="majorHAnsi" w:hAnsiTheme="majorHAnsi"/>
        </w:rPr>
        <w:drawing>
          <wp:anchor distT="0" distB="0" distL="114300" distR="114300" simplePos="0" relativeHeight="251658240" behindDoc="0" locked="0" layoutInCell="1" allowOverlap="1" wp14:anchorId="32BD0DB5" wp14:editId="744D7F95">
            <wp:simplePos x="0" y="0"/>
            <wp:positionH relativeFrom="margin">
              <wp:posOffset>0</wp:posOffset>
            </wp:positionH>
            <wp:positionV relativeFrom="margin">
              <wp:posOffset>-363070</wp:posOffset>
            </wp:positionV>
            <wp:extent cx="5486400" cy="756285"/>
            <wp:effectExtent l="0" t="0" r="0" b="5715"/>
            <wp:wrapSquare wrapText="bothSides"/>
            <wp:docPr id="1766049129" name="Obraz 2"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49129" name="Obraz 2" descr="Zestawienie znaków: Fundusze Europejskie, Barwy Rzeczpospolitej Polskiej, Unia Europejs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56285"/>
                    </a:xfrm>
                    <a:prstGeom prst="rect">
                      <a:avLst/>
                    </a:prstGeom>
                    <a:noFill/>
                    <a:ln>
                      <a:noFill/>
                    </a:ln>
                  </pic:spPr>
                </pic:pic>
              </a:graphicData>
            </a:graphic>
          </wp:anchor>
        </w:drawing>
      </w:r>
      <w:r>
        <w:rPr>
          <w:color w:val="000000" w:themeColor="text1"/>
          <w:rFonts w:asciiTheme="majorHAnsi" w:hAnsiTheme="majorHAnsi"/>
        </w:rPr>
        <w:t xml:space="preserve">Appendix No. 7 to Ordinance No. 1/08/2026</w:t>
      </w:r>
    </w:p>
    <w:p w14:paraId="33FB9F7A" w14:textId="2EE7F4BA" w:rsidR="00D77C98" w:rsidRPr="00FA7199" w:rsidRDefault="00D77C98" w:rsidP="00FA7199">
      <w:pPr>
        <w:spacing w:after="0"/>
        <w:rPr>
          <w:color w:val="000000" w:themeColor="text1"/>
          <w:szCs w:val="24"/>
          <w:rFonts w:asciiTheme="majorHAnsi" w:hAnsiTheme="majorHAnsi" w:cstheme="majorHAnsi"/>
        </w:rPr>
      </w:pPr>
      <w:r>
        <w:rPr>
          <w:color w:val="000000" w:themeColor="text1"/>
          <w:rFonts w:asciiTheme="majorHAnsi" w:hAnsiTheme="majorHAnsi"/>
        </w:rPr>
        <w:t xml:space="preserve">of the Vice-Rector for Education at VIZJA University</w:t>
      </w:r>
    </w:p>
    <w:p w14:paraId="41ED23F1" w14:textId="4014FB7E" w:rsidR="00D77C98" w:rsidRPr="00FA7199" w:rsidRDefault="00D77C98" w:rsidP="00FA7199">
      <w:pPr>
        <w:spacing w:after="0"/>
        <w:rPr>
          <w:color w:val="000000" w:themeColor="text1"/>
          <w:szCs w:val="24"/>
          <w:rFonts w:asciiTheme="majorHAnsi" w:hAnsiTheme="majorHAnsi" w:cstheme="majorHAnsi"/>
        </w:rPr>
      </w:pPr>
      <w:r>
        <w:rPr>
          <w:color w:val="000000" w:themeColor="text1"/>
          <w:rFonts w:asciiTheme="majorHAnsi" w:hAnsiTheme="majorHAnsi"/>
        </w:rPr>
        <w:t xml:space="preserve">of 5 August 2026</w:t>
      </w:r>
    </w:p>
    <w:p w14:paraId="47B76C38" w14:textId="77777777" w:rsidR="00A46D68" w:rsidRPr="002E0C6A" w:rsidRDefault="00D16F9E" w:rsidP="00FA7199">
      <w:pPr>
        <w:pStyle w:val="Nagwek1"/>
      </w:pPr>
      <w:r>
        <w:t xml:space="preserve">PROCEDURE NO. 7</w:t>
      </w:r>
    </w:p>
    <w:p w14:paraId="62BF7FBA" w14:textId="622BCD61" w:rsidR="00A46D68" w:rsidRPr="002E0C6A" w:rsidRDefault="00D16F9E" w:rsidP="00FA7199">
      <w:r>
        <w:t xml:space="preserve">Procedure for Ensuring the Accessibility of the Didactic Excellence Office and Its Services</w:t>
      </w:r>
    </w:p>
    <w:p w14:paraId="6793E52D" w14:textId="2B060B03" w:rsidR="00A46D68" w:rsidRPr="004B074D" w:rsidRDefault="00D16F9E" w:rsidP="003F4FBC">
      <w:pPr>
        <w:pStyle w:val="Nagwek2"/>
      </w:pPr>
      <w:r>
        <w:t xml:space="preserve">§ 1.</w:t>
      </w:r>
      <w:r>
        <w:t xml:space="preserve"> </w:t>
      </w:r>
      <w:r>
        <w:t xml:space="preserve">[Purpose of the Procedure]</w:t>
      </w:r>
    </w:p>
    <w:p w14:paraId="2FCBCAB0" w14:textId="433580B4" w:rsidR="00A46D68" w:rsidRPr="00FA7199" w:rsidRDefault="002E0C6A" w:rsidP="00FA7199">
      <w:pPr>
        <w:pStyle w:val="Akapitzlist"/>
        <w:numPr>
          <w:ilvl w:val="0"/>
          <w:numId w:val="13"/>
        </w:numPr>
        <w:rPr>
          <w:szCs w:val="24"/>
        </w:rPr>
      </w:pPr>
      <w:r>
        <w:t xml:space="preserve">This Procedure sets out the principles for ensuring the accessibility of the</w:t>
      </w:r>
      <w:bookmarkStart w:id="0" w:name="_Hlk236231716"/>
      <w:r>
        <w:t xml:space="preserve"> Didactic Excellence Office,</w:t>
      </w:r>
      <w:bookmarkEnd w:id="0"/>
      <w:r>
        <w:t xml:space="preserve"> hereinafter referred to as “DEO,” operating within the structure of VIZJA University, hereinafter referred to as “UV,” and of the services it provides, in accordance with the applicable legal provisions and accessibility standards.</w:t>
      </w:r>
    </w:p>
    <w:p w14:paraId="5E44522B" w14:textId="6CF5FD2B" w:rsidR="002E0C6A" w:rsidRPr="00FA7199" w:rsidRDefault="002E0C6A" w:rsidP="00FA7199">
      <w:pPr>
        <w:pStyle w:val="Akapitzlist"/>
        <w:numPr>
          <w:ilvl w:val="0"/>
          <w:numId w:val="13"/>
        </w:numPr>
        <w:rPr>
          <w:szCs w:val="24"/>
        </w:rPr>
      </w:pPr>
      <w:r>
        <w:t xml:space="preserve">The purpose of the Procedure is to systematize the principles regarding the DEO's provision of accessibility.</w:t>
      </w:r>
    </w:p>
    <w:p w14:paraId="382B8586" w14:textId="1D294692" w:rsidR="00A46D68" w:rsidRPr="00FA7199" w:rsidRDefault="00522D6D" w:rsidP="00FA7199">
      <w:pPr>
        <w:pStyle w:val="Akapitzlist"/>
        <w:numPr>
          <w:ilvl w:val="0"/>
          <w:numId w:val="13"/>
        </w:numPr>
        <w:rPr>
          <w:szCs w:val="24"/>
        </w:rPr>
      </w:pPr>
      <w:r>
        <w:t xml:space="preserve">Accessibility means ensuring that all persons are able to make use of the DEO's services, taking into account the needs of persons with special needs, including persons with disabilities, hereinafter referred to as “PwD.”</w:t>
      </w:r>
    </w:p>
    <w:p w14:paraId="78AE395F" w14:textId="5938CE79" w:rsidR="00A46D68" w:rsidRPr="004B074D" w:rsidRDefault="00D16F9E" w:rsidP="003F4FBC">
      <w:pPr>
        <w:pStyle w:val="Nagwek2"/>
      </w:pPr>
      <w:r>
        <w:t xml:space="preserve">§ 2.</w:t>
      </w:r>
      <w:r>
        <w:t xml:space="preserve"> </w:t>
      </w:r>
      <w:r>
        <w:t xml:space="preserve">[Scope of the Procedure]</w:t>
      </w:r>
    </w:p>
    <w:p w14:paraId="4EDBED98" w14:textId="5632879C" w:rsidR="007830BC" w:rsidRPr="00FA7199" w:rsidRDefault="00D16F9E" w:rsidP="00FA7199">
      <w:pPr>
        <w:pStyle w:val="Akapitzlist"/>
        <w:numPr>
          <w:ilvl w:val="0"/>
          <w:numId w:val="15"/>
        </w:numPr>
        <w:rPr>
          <w:szCs w:val="24"/>
        </w:rPr>
      </w:pPr>
      <w:r>
        <w:t xml:space="preserve">This Procedure covers the architectural, digital, and communication-information accessibility of the DEO.</w:t>
      </w:r>
    </w:p>
    <w:p w14:paraId="6636B243" w14:textId="30C1337F" w:rsidR="00A46D68" w:rsidRPr="00FA7199" w:rsidRDefault="00D16F9E" w:rsidP="00FA7199">
      <w:pPr>
        <w:pStyle w:val="Akapitzlist"/>
        <w:numPr>
          <w:ilvl w:val="0"/>
          <w:numId w:val="15"/>
        </w:numPr>
        <w:rPr>
          <w:strike/>
          <w:szCs w:val="24"/>
        </w:rPr>
      </w:pPr>
      <w:r>
        <w:t xml:space="preserve">This Procedure applies to all services provided by the DEO, in particular the organization of training, consultations, and activities supporting persons conducting classes at UV.</w:t>
      </w:r>
    </w:p>
    <w:p w14:paraId="4DBFB106" w14:textId="1F486DB7" w:rsidR="00A46D68" w:rsidRPr="004B074D" w:rsidRDefault="00D16F9E" w:rsidP="003F4FBC">
      <w:pPr>
        <w:pStyle w:val="Nagwek2"/>
      </w:pPr>
      <w:r>
        <w:t xml:space="preserve">§ 3.</w:t>
      </w:r>
      <w:r>
        <w:t xml:space="preserve"> </w:t>
      </w:r>
      <w:r>
        <w:t xml:space="preserve">[Location of the Office]</w:t>
      </w:r>
    </w:p>
    <w:p w14:paraId="4DF700CE" w14:textId="66332295" w:rsidR="00A46D68" w:rsidRPr="00FA7199" w:rsidRDefault="00942215" w:rsidP="00FA7199">
      <w:pPr>
        <w:pStyle w:val="Akapitzlist"/>
        <w:numPr>
          <w:ilvl w:val="0"/>
          <w:numId w:val="16"/>
        </w:numPr>
        <w:rPr>
          <w:szCs w:val="24"/>
        </w:rPr>
      </w:pPr>
      <w:r>
        <w:t xml:space="preserve">The DEO is located on UV's main campus at ul. </w:t>
      </w:r>
      <w:r>
        <w:t xml:space="preserve"> </w:t>
      </w:r>
      <w:r>
        <w:t xml:space="preserve">Okopowa 59 in Warsaw, on the 6th floor, room 612.</w:t>
      </w:r>
    </w:p>
    <w:p w14:paraId="17E6BF92" w14:textId="6D9E128E" w:rsidR="00A46D68" w:rsidRPr="004B074D" w:rsidRDefault="00D16F9E" w:rsidP="003F4FBC">
      <w:pPr>
        <w:pStyle w:val="Nagwek2"/>
      </w:pPr>
      <w:r>
        <w:t xml:space="preserve">§ 4.</w:t>
      </w:r>
      <w:r>
        <w:t xml:space="preserve"> </w:t>
      </w:r>
      <w:r>
        <w:t xml:space="preserve">[Architectural Accessibility]</w:t>
      </w:r>
    </w:p>
    <w:p w14:paraId="0D4E502C" w14:textId="77777777" w:rsidR="00FA7199" w:rsidRDefault="00AD4338" w:rsidP="00FA7199">
      <w:pPr>
        <w:pStyle w:val="Akapitzlist"/>
        <w:numPr>
          <w:ilvl w:val="0"/>
          <w:numId w:val="17"/>
        </w:numPr>
        <w:rPr>
          <w:rStyle w:val="Hipercze"/>
          <w:szCs w:val="24"/>
        </w:rPr>
      </w:pPr>
      <w:r>
        <w:t xml:space="preserve">The building in which the DEO is located is adapted to the needs of PwD (including accessible elevators, restrooms on every floor, wide corridors, parking spaces, and induction loops at points serving stakeholders).</w:t>
      </w:r>
      <w:r>
        <w:t xml:space="preserve"> </w:t>
      </w:r>
      <w:r>
        <w:t xml:space="preserve">Further information is available in the continuously updated Accessibility Declaration published at: </w:t>
      </w:r>
      <w:hyperlink r:id="rId9" w:history="1">
        <w:r>
          <w:rPr>
            <w:rStyle w:val="Hipercze"/>
          </w:rPr>
          <w:t xml:space="preserve">https://vizja.pl/deklaracja-dostepnosci/</w:t>
        </w:r>
      </w:hyperlink>
      <w:r>
        <w:rPr>
          <w:rStyle w:val="Hipercze"/>
        </w:rPr>
        <w:t xml:space="preserve"> </w:t>
      </w:r>
    </w:p>
    <w:p w14:paraId="6DDDADDC" w14:textId="42ECB0FA" w:rsidR="002C66B4" w:rsidRPr="00FA7199" w:rsidRDefault="009340EE" w:rsidP="00FA7199">
      <w:pPr>
        <w:pStyle w:val="Akapitzlist"/>
        <w:numPr>
          <w:ilvl w:val="0"/>
          <w:numId w:val="17"/>
        </w:numPr>
        <w:rPr>
          <w:color w:val="000000" w:themeColor="text1"/>
          <w:szCs w:val="24"/>
          <w:u w:val="single"/>
        </w:rPr>
      </w:pPr>
      <w:r>
        <w:t xml:space="preserve">The DEO is located in a room free of architectural barriers.</w:t>
      </w:r>
    </w:p>
    <w:p w14:paraId="3BB453A6" w14:textId="3D2DB96C" w:rsidR="00A46D68" w:rsidRPr="004B074D" w:rsidRDefault="00D16F9E" w:rsidP="003F4FBC">
      <w:pPr>
        <w:pStyle w:val="Nagwek2"/>
      </w:pPr>
      <w:r>
        <w:t xml:space="preserve">§ 5.</w:t>
      </w:r>
      <w:r>
        <w:t xml:space="preserve"> </w:t>
      </w:r>
      <w:r>
        <w:t xml:space="preserve">[Digital Accessibility]</w:t>
      </w:r>
    </w:p>
    <w:p w14:paraId="0FF9D1A3" w14:textId="4B057ECD" w:rsidR="00A46D68" w:rsidRPr="00FA7199" w:rsidRDefault="002D50A2" w:rsidP="00FA7199">
      <w:pPr>
        <w:pStyle w:val="Akapitzlist"/>
        <w:numPr>
          <w:ilvl w:val="0"/>
          <w:numId w:val="19"/>
        </w:numPr>
        <w:rPr>
          <w:szCs w:val="24"/>
        </w:rPr>
      </w:pPr>
      <w:r>
        <w:t xml:space="preserve">The materials prepared and published by the DEO meet digital accessibility requirements in accordance with applicable standards, in particular WCAG in its currently applicable version.</w:t>
      </w:r>
    </w:p>
    <w:p w14:paraId="7DEC14E1" w14:textId="232F05C7" w:rsidR="00A46D68" w:rsidRPr="00FA7199" w:rsidRDefault="00D16F9E" w:rsidP="00FA7199">
      <w:pPr>
        <w:pStyle w:val="Akapitzlist"/>
        <w:numPr>
          <w:ilvl w:val="0"/>
          <w:numId w:val="19"/>
        </w:numPr>
        <w:rPr>
          <w:szCs w:val="24"/>
        </w:rPr>
      </w:pPr>
      <w:r>
        <w:t xml:space="preserve">Training materials are prepared with due regard for the principles of digital accessibility.</w:t>
      </w:r>
      <w:r>
        <w:t xml:space="preserve"> </w:t>
      </w:r>
      <w:r>
        <w:t xml:space="preserve">Further information is available in the continuously updated Accessibility Declaration published at: </w:t>
      </w:r>
      <w:hyperlink r:id="rId10" w:history="1">
        <w:r>
          <w:rPr>
            <w:rStyle w:val="Hipercze"/>
          </w:rPr>
          <w:t xml:space="preserve">https://vizja.pl/deklaracja-dostepnosci/</w:t>
        </w:r>
      </w:hyperlink>
    </w:p>
    <w:p w14:paraId="64EA048E" w14:textId="389A1D20" w:rsidR="00A46D68" w:rsidRPr="004B074D" w:rsidRDefault="00D16F9E" w:rsidP="003F4FBC">
      <w:pPr>
        <w:pStyle w:val="Nagwek2"/>
      </w:pPr>
      <w:r>
        <w:t xml:space="preserve">§ 6.</w:t>
      </w:r>
      <w:r>
        <w:t xml:space="preserve"> </w:t>
      </w:r>
      <w:r>
        <w:t xml:space="preserve">[Communication and Information Accessibility]</w:t>
      </w:r>
    </w:p>
    <w:p w14:paraId="00BDAF81" w14:textId="21FC46F1" w:rsidR="00A46D68" w:rsidRPr="00FA7199" w:rsidRDefault="00D16F9E" w:rsidP="00FA7199">
      <w:pPr>
        <w:pStyle w:val="Akapitzlist"/>
        <w:numPr>
          <w:ilvl w:val="0"/>
          <w:numId w:val="21"/>
        </w:numPr>
        <w:rPr>
          <w:szCs w:val="24"/>
        </w:rPr>
      </w:pPr>
      <w:r>
        <w:t xml:space="preserve">Contact with the DEO is possible in person and electronically.</w:t>
      </w:r>
    </w:p>
    <w:p w14:paraId="08029B45" w14:textId="53DCE0E1" w:rsidR="00A46D68" w:rsidRPr="00FA7199" w:rsidRDefault="00CB6D61" w:rsidP="00FA7199">
      <w:pPr>
        <w:pStyle w:val="Akapitzlist"/>
        <w:numPr>
          <w:ilvl w:val="0"/>
          <w:numId w:val="21"/>
        </w:numPr>
        <w:rPr>
          <w:szCs w:val="24"/>
        </w:rPr>
      </w:pPr>
      <w:r>
        <w:t xml:space="preserve">The DEO provides support in using the services it offers, including assistance with registering for training in the area of teaching or other areas supporting the quality of the education process.</w:t>
      </w:r>
    </w:p>
    <w:p w14:paraId="670B4A68" w14:textId="643AC31A" w:rsidR="00A46D68" w:rsidRPr="00FA7199" w:rsidRDefault="00D16F9E" w:rsidP="00FA7199">
      <w:pPr>
        <w:pStyle w:val="Akapitzlist"/>
        <w:numPr>
          <w:ilvl w:val="0"/>
          <w:numId w:val="21"/>
        </w:numPr>
        <w:rPr>
          <w:szCs w:val="24"/>
        </w:rPr>
      </w:pPr>
      <w:r>
        <w:t xml:space="preserve">At the request of a person with special needs, the DEO adapts the form of communication to their needs.</w:t>
      </w:r>
    </w:p>
    <w:p w14:paraId="5127A473" w14:textId="3D5B9D7A" w:rsidR="002C66B4" w:rsidRPr="00FA7199" w:rsidRDefault="00D4705E" w:rsidP="00FA7199">
      <w:pPr>
        <w:pStyle w:val="Akapitzlist"/>
        <w:numPr>
          <w:ilvl w:val="0"/>
          <w:numId w:val="21"/>
        </w:numPr>
        <w:rPr>
          <w:szCs w:val="24"/>
        </w:rPr>
      </w:pPr>
      <w:r>
        <w:t xml:space="preserve">Persons with special needs may request that the form of communication be adapted to their needs by e-mail (</w:t>
      </w:r>
      <w:hyperlink r:id="rId11" w:history="1">
        <w:r>
          <w:rPr>
            <w:rStyle w:val="Hipercze"/>
          </w:rPr>
          <w:t xml:space="preserve">bdd@vizja.pl</w:t>
        </w:r>
      </w:hyperlink>
      <w:r>
        <w:t xml:space="preserve">), via the MS Teams platform, or in person at the DEO's office.</w:t>
      </w:r>
    </w:p>
    <w:p w14:paraId="6DC49821" w14:textId="56EA197C" w:rsidR="002C66B4" w:rsidRPr="00FA7199" w:rsidRDefault="002C66B4" w:rsidP="00FA7199">
      <w:pPr>
        <w:pStyle w:val="Akapitzlist"/>
        <w:numPr>
          <w:ilvl w:val="0"/>
          <w:numId w:val="21"/>
        </w:numPr>
        <w:rPr>
          <w:rStyle w:val="Hipercze"/>
          <w:szCs w:val="24"/>
        </w:rPr>
      </w:pPr>
      <w:r>
        <w:t xml:space="preserve">Further information is available in the continuously updated Accessibility Declaration published at: </w:t>
      </w:r>
      <w:hyperlink r:id="rId12" w:history="1">
        <w:r>
          <w:rPr>
            <w:rStyle w:val="Hipercze"/>
          </w:rPr>
          <w:t xml:space="preserve">https://vizja.pl/deklaracja-dostepnosci/</w:t>
        </w:r>
      </w:hyperlink>
    </w:p>
    <w:p w14:paraId="615A375E" w14:textId="09FFD1EF" w:rsidR="0008058C" w:rsidRPr="00FA7199" w:rsidRDefault="00E62DA1" w:rsidP="00FA7199">
      <w:pPr>
        <w:pStyle w:val="Akapitzlist"/>
        <w:numPr>
          <w:ilvl w:val="0"/>
          <w:numId w:val="21"/>
        </w:numPr>
        <w:rPr>
          <w:szCs w:val="24"/>
        </w:rPr>
      </w:pPr>
      <w:bookmarkStart w:id="1" w:name="_Hlk236745574"/>
      <w:r>
        <w:t xml:space="preserve">The DEO is equipped with an induction loop.</w:t>
      </w:r>
      <w:bookmarkEnd w:id="1"/>
    </w:p>
    <w:p w14:paraId="373260CB" w14:textId="5DF2DCA5" w:rsidR="00A46D68" w:rsidRPr="004B074D" w:rsidRDefault="00D16F9E" w:rsidP="003F4FBC">
      <w:pPr>
        <w:pStyle w:val="Nagwek2"/>
      </w:pPr>
      <w:r>
        <w:t xml:space="preserve">§ 7.</w:t>
      </w:r>
      <w:r>
        <w:t xml:space="preserve"> </w:t>
      </w:r>
      <w:r>
        <w:t xml:space="preserve">[Accessibility of Training Services]</w:t>
      </w:r>
    </w:p>
    <w:p w14:paraId="22B82836" w14:textId="0898A81A" w:rsidR="00A46D68" w:rsidRPr="00FA7199" w:rsidRDefault="00D16F9E" w:rsidP="00FA7199">
      <w:pPr>
        <w:pStyle w:val="Akapitzlist"/>
        <w:numPr>
          <w:ilvl w:val="0"/>
          <w:numId w:val="23"/>
        </w:numPr>
        <w:rPr>
          <w:szCs w:val="24"/>
        </w:rPr>
      </w:pPr>
      <w:r>
        <w:t xml:space="preserve">Training organized by the DEO is delivered with due regard for the principles of equal access.</w:t>
      </w:r>
    </w:p>
    <w:p w14:paraId="0DEB58A4" w14:textId="1FFE826E" w:rsidR="00A46D68" w:rsidRPr="00FA7199" w:rsidRDefault="00D16F9E" w:rsidP="00FA7199">
      <w:pPr>
        <w:pStyle w:val="Akapitzlist"/>
        <w:numPr>
          <w:ilvl w:val="0"/>
          <w:numId w:val="23"/>
        </w:numPr>
        <w:rPr>
          <w:szCs w:val="24"/>
        </w:rPr>
      </w:pPr>
      <w:r>
        <w:t xml:space="preserve">In the event that special needs are reported, the DEO takes action to ensure reasonable accommodations.</w:t>
      </w:r>
    </w:p>
    <w:p w14:paraId="65739FDC" w14:textId="104D56DB" w:rsidR="00322AD5" w:rsidRPr="00FA7199" w:rsidRDefault="00322AD5" w:rsidP="00FA7199">
      <w:pPr>
        <w:pStyle w:val="Akapitzlist"/>
        <w:numPr>
          <w:ilvl w:val="0"/>
          <w:numId w:val="23"/>
        </w:numPr>
        <w:rPr>
          <w:szCs w:val="24"/>
        </w:rPr>
      </w:pPr>
      <w:r>
        <w:t xml:space="preserve">A person reporting a training need has the opportunity to indicate the accommodations that would allow them to participate comfortably in the training/workshop, at the stage of completing the training-needs application form available on the website or at the DEO's office.</w:t>
      </w:r>
    </w:p>
    <w:p w14:paraId="18B447D3" w14:textId="3A51DBC7" w:rsidR="00E95DB5" w:rsidRPr="004B074D" w:rsidRDefault="00E95DB5" w:rsidP="003F4FBC">
      <w:pPr>
        <w:pStyle w:val="Nagwek2"/>
      </w:pPr>
      <w:r>
        <w:t xml:space="preserve">§ 8.</w:t>
      </w:r>
      <w:r>
        <w:t xml:space="preserve"> </w:t>
      </w:r>
      <w:r>
        <w:t xml:space="preserve">[Principles of Equal Treatment and Accessibility]</w:t>
      </w:r>
    </w:p>
    <w:p w14:paraId="2EAE4FF9" w14:textId="77777777" w:rsidR="00FA7199" w:rsidRDefault="00E95DB5" w:rsidP="00FA7199">
      <w:pPr>
        <w:pStyle w:val="Akapitzlist"/>
        <w:numPr>
          <w:ilvl w:val="0"/>
          <w:numId w:val="24"/>
        </w:numPr>
        <w:rPr>
          <w:szCs w:val="24"/>
        </w:rPr>
      </w:pPr>
      <w:r>
        <w:t xml:space="preserve">The DEO observes the principles of equality in accordance with the Equality Policy in force at the University and implements accessibility standards with regard to its processes, work products, and the tools it uses.</w:t>
      </w:r>
      <w:r>
        <w:t xml:space="preserve"> </w:t>
      </w:r>
      <w:r>
        <w:t xml:space="preserve">The main principles and actions include:</w:t>
      </w:r>
    </w:p>
    <w:p w14:paraId="69E5EE2B" w14:textId="77777777" w:rsidR="00FA7199" w:rsidRDefault="00E95DB5" w:rsidP="00FA7199">
      <w:pPr>
        <w:pStyle w:val="Akapitzlist"/>
        <w:numPr>
          <w:ilvl w:val="1"/>
          <w:numId w:val="24"/>
        </w:numPr>
        <w:spacing w:before="120" w:after="120" w:line="288" w:lineRule="auto"/>
        <w:ind w:left="1080"/>
        <w:rPr>
          <w:szCs w:val="24"/>
        </w:rPr>
      </w:pPr>
      <w:r>
        <w:t xml:space="preserve">conducting the DEO's work and activities with respect for all differences among the persons involved in that work and those activities, including differences arising from sex, age, race, skin color, ethnic or social origin, disability status, genetic characteristics, religion or beliefs, political opinions, membership of a national minority, and other characteristics;</w:t>
      </w:r>
    </w:p>
    <w:p w14:paraId="6D3A8682" w14:textId="77777777" w:rsidR="00FA7199" w:rsidRDefault="00E95DB5" w:rsidP="00FA7199">
      <w:pPr>
        <w:pStyle w:val="Akapitzlist"/>
        <w:numPr>
          <w:ilvl w:val="1"/>
          <w:numId w:val="24"/>
        </w:numPr>
        <w:spacing w:before="120" w:after="120" w:line="288" w:lineRule="auto"/>
        <w:ind w:left="1080"/>
        <w:rPr>
          <w:szCs w:val="24"/>
        </w:rPr>
      </w:pPr>
      <w:r>
        <w:t xml:space="preserve">ensuring support for every person using the services offered by the DEO regardless of their differences, taking into account their individual preferences and, where applicable, their special needs;</w:t>
      </w:r>
    </w:p>
    <w:p w14:paraId="74CBE525" w14:textId="77777777" w:rsidR="00FA7199" w:rsidRDefault="00C55079" w:rsidP="00FA7199">
      <w:pPr>
        <w:pStyle w:val="Akapitzlist"/>
        <w:numPr>
          <w:ilvl w:val="1"/>
          <w:numId w:val="24"/>
        </w:numPr>
        <w:spacing w:before="120" w:after="120" w:line="288" w:lineRule="auto"/>
        <w:ind w:left="1080"/>
        <w:rPr>
          <w:szCs w:val="24"/>
        </w:rPr>
      </w:pPr>
      <w:r>
        <w:t xml:space="preserve">ensuring that all activities carried out within the DEO are conducted with respect for the principle of equality between women and men, understood as attributing to them the same social value, equal rights and obligations, and ensuring them equal access to, and the possibility of using, the DEO's resources;</w:t>
      </w:r>
    </w:p>
    <w:p w14:paraId="1F88E0E0" w14:textId="77777777" w:rsidR="00FA7199" w:rsidRDefault="0034083C" w:rsidP="00FA7199">
      <w:pPr>
        <w:pStyle w:val="Akapitzlist"/>
        <w:numPr>
          <w:ilvl w:val="1"/>
          <w:numId w:val="24"/>
        </w:numPr>
        <w:spacing w:before="120" w:after="120" w:line="288" w:lineRule="auto"/>
        <w:ind w:left="1080"/>
        <w:rPr>
          <w:szCs w:val="24"/>
        </w:rPr>
      </w:pPr>
      <w:r>
        <w:t xml:space="preserve">counteracting discrimination, in particular by ensuring that activities carried out within the DEO are conducted with respect for the principle of equal treatment of persons using the DEO's support, DEO staff, and UV employees, without exhibiting discriminatory behavior, including without the use of stereotypes based on sex or other individual characteristics, as well as by monitoring the occurrence of such behavior within the DEO;</w:t>
      </w:r>
    </w:p>
    <w:p w14:paraId="336A62AF" w14:textId="7B059097" w:rsidR="00500F7C" w:rsidRPr="00FA7199" w:rsidRDefault="00590366" w:rsidP="00FA7199">
      <w:pPr>
        <w:pStyle w:val="Akapitzlist"/>
        <w:numPr>
          <w:ilvl w:val="1"/>
          <w:numId w:val="24"/>
        </w:numPr>
        <w:spacing w:before="120" w:after="120" w:line="288" w:lineRule="auto"/>
        <w:ind w:left="1080"/>
        <w:rPr>
          <w:szCs w:val="24"/>
        </w:rPr>
      </w:pPr>
      <w:r>
        <w:t xml:space="preserve">applying solutions and accommodations tailored to the special needs reported by DEO staff or stakeholders, enabling them to make use of the support and resources made available by the DEO.</w:t>
      </w:r>
    </w:p>
    <w:p w14:paraId="1358B38F" w14:textId="6F6AC8F9" w:rsidR="00A46D68" w:rsidRPr="004B074D" w:rsidRDefault="00D16F9E" w:rsidP="003F4FBC">
      <w:pPr>
        <w:pStyle w:val="Nagwek2"/>
      </w:pPr>
      <w:r>
        <w:t xml:space="preserve">§ 9.</w:t>
      </w:r>
      <w:r>
        <w:t xml:space="preserve"> </w:t>
      </w:r>
      <w:r>
        <w:t xml:space="preserve">[Responsibility]</w:t>
      </w:r>
    </w:p>
    <w:p w14:paraId="4CED4293" w14:textId="0AD91865" w:rsidR="00A46D68" w:rsidRPr="00FA7199" w:rsidRDefault="00D16F9E" w:rsidP="00FA7199">
      <w:pPr>
        <w:pStyle w:val="Akapitzlist"/>
        <w:numPr>
          <w:ilvl w:val="0"/>
          <w:numId w:val="26"/>
        </w:numPr>
        <w:rPr>
          <w:szCs w:val="24"/>
        </w:rPr>
      </w:pPr>
      <w:r>
        <w:t xml:space="preserve">The Head of the DEO is responsible for monitoring the DEO's provision of accessibility.</w:t>
      </w:r>
    </w:p>
    <w:p w14:paraId="451FE223" w14:textId="7EB533C6" w:rsidR="00A46D68" w:rsidRPr="00FA7199" w:rsidRDefault="00D16F9E" w:rsidP="00FA7199">
      <w:pPr>
        <w:pStyle w:val="Akapitzlist"/>
        <w:numPr>
          <w:ilvl w:val="0"/>
          <w:numId w:val="26"/>
        </w:numPr>
        <w:rPr>
          <w:szCs w:val="24"/>
        </w:rPr>
      </w:pPr>
      <w:r>
        <w:t xml:space="preserve">The Office cooperates with UV units responsible for accessibility and for supporting persons with special needs, including PwD.</w:t>
      </w:r>
    </w:p>
    <w:p w14:paraId="73331F4B" w14:textId="267104B8" w:rsidR="00A46D68" w:rsidRPr="004B074D" w:rsidRDefault="00D16F9E" w:rsidP="003F4FBC">
      <w:pPr>
        <w:pStyle w:val="Nagwek2"/>
      </w:pPr>
      <w:r>
        <w:t xml:space="preserve">§ 10.</w:t>
      </w:r>
      <w:r>
        <w:t xml:space="preserve"> </w:t>
      </w:r>
      <w:r>
        <w:t xml:space="preserve">[Final Provisions]</w:t>
      </w:r>
    </w:p>
    <w:p w14:paraId="01A4E2FE" w14:textId="79A91281" w:rsidR="00FC21A2" w:rsidRPr="00FA7199" w:rsidRDefault="00FC21A2" w:rsidP="00FA7199">
      <w:pPr>
        <w:pStyle w:val="Akapitzlist"/>
        <w:numPr>
          <w:ilvl w:val="0"/>
          <w:numId w:val="28"/>
        </w:numPr>
      </w:pPr>
      <w:r>
        <w:t xml:space="preserve">The Procedure shall be updated in the event of circumstances justifying its amendment.</w:t>
      </w:r>
    </w:p>
    <w:p w14:paraId="418E7358" w14:textId="324CF8F0" w:rsidR="00810DD7" w:rsidRPr="00FA7199" w:rsidRDefault="00810DD7" w:rsidP="00FA7199">
      <w:pPr>
        <w:pStyle w:val="Akapitzlist"/>
        <w:numPr>
          <w:ilvl w:val="0"/>
          <w:numId w:val="28"/>
        </w:numPr>
        <w:rPr>
          <w:szCs w:val="24"/>
        </w:rPr>
      </w:pPr>
      <w:r>
        <w:t xml:space="preserve">The Procedure shall enter into force on the date of its approval.</w:t>
      </w:r>
    </w:p>
    <w:sectPr w:rsidR="00810DD7" w:rsidRPr="00FA7199" w:rsidSect="006A1056">
      <w:footerReference w:type="default" r:id="rId13"/>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CF645" w14:textId="77777777" w:rsidR="002523D6" w:rsidRDefault="002523D6" w:rsidP="002A0A0E">
      <w:pPr>
        <w:spacing w:after="0" w:line="240" w:lineRule="auto"/>
      </w:pPr>
      <w:r>
        <w:separator/>
      </w:r>
    </w:p>
  </w:endnote>
  <w:endnote w:type="continuationSeparator" w:id="0">
    <w:p w14:paraId="3D7A79D9" w14:textId="77777777" w:rsidR="002523D6" w:rsidRDefault="002523D6" w:rsidP="002A0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931438"/>
      <w:docPartObj>
        <w:docPartGallery w:val="Page Numbers (Bottom of Page)"/>
        <w:docPartUnique/>
      </w:docPartObj>
    </w:sdtPr>
    <w:sdtContent>
      <w:sdt>
        <w:sdtPr>
          <w:id w:val="-1769616900"/>
          <w:docPartObj>
            <w:docPartGallery w:val="Page Numbers (Top of Page)"/>
            <w:docPartUnique/>
          </w:docPartObj>
        </w:sdtPr>
        <w:sdtContent>
          <w:p w14:paraId="45F8E4F4" w14:textId="22CC4824" w:rsidR="002A0A0E" w:rsidRDefault="002A0A0E">
            <w:pPr>
              <w:pStyle w:val="Stopka"/>
              <w:jc w:val="right"/>
            </w:pPr>
            <w:r>
              <w:t xml:space="preserve">Page </w:t>
            </w:r>
            <w:r>
              <w:rPr>
                <w:b/>
              </w:rPr>
              <w:fldChar w:fldCharType="begin"/>
            </w:r>
            <w:r>
              <w:rPr>
                <w:b/>
              </w:rPr>
              <w:instrText>PAGE</w:instrText>
            </w:r>
            <w:r>
              <w:rPr>
                <w:b/>
              </w:rPr>
              <w:fldChar w:fldCharType="separate"/>
            </w:r>
            <w:r>
              <w:rPr>
                <w:b/>
              </w:rPr>
              <w:t>2</w:t>
            </w:r>
            <w:r>
              <w:rPr>
                <w:b/>
              </w:rPr>
              <w:fldChar w:fldCharType="end"/>
            </w:r>
            <w:r>
              <w:t xml:space="preserve"> of </w:t>
            </w:r>
            <w:r>
              <w:rPr>
                <w:b/>
              </w:rPr>
              <w:fldChar w:fldCharType="begin" w:dirty="true"/>
            </w:r>
            <w:r>
              <w:rPr>
                <w:b/>
              </w:rPr>
              <w:instrText>NUMPAGES</w:instrText>
            </w:r>
            <w:r>
              <w:rPr>
                <w:b/>
              </w:rPr>
              <w:fldChar w:fldCharType="separate"/>
            </w:r>
            <w:r>
              <w:rPr>
                <w:b/>
              </w:rPr>
              <w:t>2</w:t>
            </w:r>
            <w:r>
              <w:rPr>
                <w:b/>
              </w:rPr>
              <w:fldChar w:fldCharType="end"/>
            </w:r>
          </w:p>
        </w:sdtContent>
      </w:sdt>
    </w:sdtContent>
  </w:sdt>
  <w:p w14:paraId="26B2EB92" w14:textId="77777777" w:rsidR="002A0A0E" w:rsidRDefault="002A0A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75237" w14:textId="77777777" w:rsidR="002523D6" w:rsidRDefault="002523D6" w:rsidP="002A0A0E">
      <w:pPr>
        <w:spacing w:after="0" w:line="240" w:lineRule="auto"/>
      </w:pPr>
      <w:r>
        <w:separator/>
      </w:r>
    </w:p>
  </w:footnote>
  <w:footnote w:type="continuationSeparator" w:id="0">
    <w:p w14:paraId="5776C493" w14:textId="77777777" w:rsidR="002523D6" w:rsidRDefault="002523D6" w:rsidP="002A0A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684579"/>
    <w:multiLevelType w:val="hybridMultilevel"/>
    <w:tmpl w:val="5C1035FC"/>
    <w:lvl w:ilvl="0" w:tplc="1DA497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7D2ABD"/>
    <w:multiLevelType w:val="hybridMultilevel"/>
    <w:tmpl w:val="BEA2D720"/>
    <w:lvl w:ilvl="0" w:tplc="0ECACD76">
      <w:start w:val="1"/>
      <w:numFmt w:val="lowerLetter"/>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F945C0A"/>
    <w:multiLevelType w:val="hybridMultilevel"/>
    <w:tmpl w:val="6338F6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D706FE"/>
    <w:multiLevelType w:val="hybridMultilevel"/>
    <w:tmpl w:val="D8C0FDE0"/>
    <w:lvl w:ilvl="0" w:tplc="A792197C">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385620"/>
    <w:multiLevelType w:val="hybridMultilevel"/>
    <w:tmpl w:val="348C2DFE"/>
    <w:lvl w:ilvl="0" w:tplc="E21CED7C">
      <w:start w:val="1"/>
      <w:numFmt w:val="decimal"/>
      <w:lvlText w:val="%1."/>
      <w:lvlJc w:val="left"/>
      <w:pPr>
        <w:ind w:left="720" w:hanging="360"/>
      </w:pPr>
      <w:rPr>
        <w:rFonts w:hint="default"/>
        <w:strike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600829"/>
    <w:multiLevelType w:val="hybridMultilevel"/>
    <w:tmpl w:val="75C80CD6"/>
    <w:lvl w:ilvl="0" w:tplc="FFFFFFFF">
      <w:start w:val="1"/>
      <w:numFmt w:val="decimal"/>
      <w:lvlText w:val="%1."/>
      <w:lvlJc w:val="left"/>
      <w:pPr>
        <w:ind w:left="720" w:hanging="360"/>
      </w:pPr>
      <w:rPr>
        <w:rFonts w:hint="default"/>
        <w:strike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0A7F0D"/>
    <w:multiLevelType w:val="hybridMultilevel"/>
    <w:tmpl w:val="D1485132"/>
    <w:lvl w:ilvl="0" w:tplc="886E55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AFD6A32"/>
    <w:multiLevelType w:val="hybridMultilevel"/>
    <w:tmpl w:val="99DABB38"/>
    <w:lvl w:ilvl="0" w:tplc="1DA497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E2F5FF6"/>
    <w:multiLevelType w:val="hybridMultilevel"/>
    <w:tmpl w:val="400466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EAC1826"/>
    <w:multiLevelType w:val="hybridMultilevel"/>
    <w:tmpl w:val="63A67346"/>
    <w:lvl w:ilvl="0" w:tplc="886E55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F131BF"/>
    <w:multiLevelType w:val="hybridMultilevel"/>
    <w:tmpl w:val="5F385F54"/>
    <w:lvl w:ilvl="0" w:tplc="1DA497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8D6276"/>
    <w:multiLevelType w:val="hybridMultilevel"/>
    <w:tmpl w:val="401CFC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BEE3360"/>
    <w:multiLevelType w:val="hybridMultilevel"/>
    <w:tmpl w:val="4B569B62"/>
    <w:lvl w:ilvl="0" w:tplc="D9EE21FE">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1D943A2"/>
    <w:multiLevelType w:val="hybridMultilevel"/>
    <w:tmpl w:val="11D6C620"/>
    <w:lvl w:ilvl="0" w:tplc="57B0759C">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6D60F79"/>
    <w:multiLevelType w:val="hybridMultilevel"/>
    <w:tmpl w:val="9C20F612"/>
    <w:lvl w:ilvl="0" w:tplc="8A6E39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A10FD6"/>
    <w:multiLevelType w:val="hybridMultilevel"/>
    <w:tmpl w:val="4B04534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6B52DF"/>
    <w:multiLevelType w:val="hybridMultilevel"/>
    <w:tmpl w:val="348C2DFE"/>
    <w:lvl w:ilvl="0" w:tplc="FFFFFFFF">
      <w:start w:val="1"/>
      <w:numFmt w:val="decimal"/>
      <w:lvlText w:val="%1."/>
      <w:lvlJc w:val="left"/>
      <w:pPr>
        <w:ind w:left="720" w:hanging="360"/>
      </w:pPr>
      <w:rPr>
        <w:rFonts w:hint="default"/>
        <w:strike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4DC1FAE"/>
    <w:multiLevelType w:val="hybridMultilevel"/>
    <w:tmpl w:val="0D0A757E"/>
    <w:lvl w:ilvl="0" w:tplc="D9EE21FE">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4D01A63"/>
    <w:multiLevelType w:val="hybridMultilevel"/>
    <w:tmpl w:val="42ECCB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78621391">
    <w:abstractNumId w:val="8"/>
  </w:num>
  <w:num w:numId="2" w16cid:durableId="2127848283">
    <w:abstractNumId w:val="6"/>
  </w:num>
  <w:num w:numId="3" w16cid:durableId="687216934">
    <w:abstractNumId w:val="5"/>
  </w:num>
  <w:num w:numId="4" w16cid:durableId="1474567641">
    <w:abstractNumId w:val="4"/>
  </w:num>
  <w:num w:numId="5" w16cid:durableId="990717829">
    <w:abstractNumId w:val="7"/>
  </w:num>
  <w:num w:numId="6" w16cid:durableId="7488512">
    <w:abstractNumId w:val="3"/>
  </w:num>
  <w:num w:numId="7" w16cid:durableId="1930115880">
    <w:abstractNumId w:val="2"/>
  </w:num>
  <w:num w:numId="8" w16cid:durableId="979991654">
    <w:abstractNumId w:val="1"/>
  </w:num>
  <w:num w:numId="9" w16cid:durableId="860319670">
    <w:abstractNumId w:val="0"/>
  </w:num>
  <w:num w:numId="10" w16cid:durableId="83038235">
    <w:abstractNumId w:val="24"/>
  </w:num>
  <w:num w:numId="11" w16cid:durableId="48460485">
    <w:abstractNumId w:val="10"/>
  </w:num>
  <w:num w:numId="12" w16cid:durableId="2123307120">
    <w:abstractNumId w:val="17"/>
  </w:num>
  <w:num w:numId="13" w16cid:durableId="2044866633">
    <w:abstractNumId w:val="27"/>
  </w:num>
  <w:num w:numId="14" w16cid:durableId="757604901">
    <w:abstractNumId w:val="11"/>
  </w:num>
  <w:num w:numId="15" w16cid:durableId="893278477">
    <w:abstractNumId w:val="22"/>
  </w:num>
  <w:num w:numId="16" w16cid:durableId="1426611883">
    <w:abstractNumId w:val="13"/>
  </w:num>
  <w:num w:numId="17" w16cid:durableId="1782916289">
    <w:abstractNumId w:val="25"/>
  </w:num>
  <w:num w:numId="18" w16cid:durableId="1231573798">
    <w:abstractNumId w:val="14"/>
  </w:num>
  <w:num w:numId="19" w16cid:durableId="1407338792">
    <w:abstractNumId w:val="15"/>
  </w:num>
  <w:num w:numId="20" w16cid:durableId="1148328485">
    <w:abstractNumId w:val="18"/>
  </w:num>
  <w:num w:numId="21" w16cid:durableId="834610218">
    <w:abstractNumId w:val="26"/>
  </w:num>
  <w:num w:numId="22" w16cid:durableId="1261524902">
    <w:abstractNumId w:val="21"/>
  </w:num>
  <w:num w:numId="23" w16cid:durableId="2092697411">
    <w:abstractNumId w:val="23"/>
  </w:num>
  <w:num w:numId="24" w16cid:durableId="2058621034">
    <w:abstractNumId w:val="12"/>
  </w:num>
  <w:num w:numId="25" w16cid:durableId="965356271">
    <w:abstractNumId w:val="20"/>
  </w:num>
  <w:num w:numId="26" w16cid:durableId="1269701143">
    <w:abstractNumId w:val="19"/>
  </w:num>
  <w:num w:numId="27" w16cid:durableId="483667524">
    <w:abstractNumId w:val="16"/>
  </w:num>
  <w:num w:numId="28" w16cid:durableId="20225874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dirty" w:grammar="dirty"/>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133"/>
    <w:rsid w:val="0008058C"/>
    <w:rsid w:val="00093026"/>
    <w:rsid w:val="000A4B97"/>
    <w:rsid w:val="000C5FC3"/>
    <w:rsid w:val="00116997"/>
    <w:rsid w:val="00117286"/>
    <w:rsid w:val="00144CD5"/>
    <w:rsid w:val="0015074B"/>
    <w:rsid w:val="00150FA1"/>
    <w:rsid w:val="00152A56"/>
    <w:rsid w:val="00164333"/>
    <w:rsid w:val="00175E11"/>
    <w:rsid w:val="001A49FD"/>
    <w:rsid w:val="001D6A54"/>
    <w:rsid w:val="001E27BE"/>
    <w:rsid w:val="00205D73"/>
    <w:rsid w:val="0021589E"/>
    <w:rsid w:val="00223536"/>
    <w:rsid w:val="00224FAF"/>
    <w:rsid w:val="00230C53"/>
    <w:rsid w:val="0023532C"/>
    <w:rsid w:val="00242331"/>
    <w:rsid w:val="002452AF"/>
    <w:rsid w:val="002511E4"/>
    <w:rsid w:val="002523D6"/>
    <w:rsid w:val="0029639D"/>
    <w:rsid w:val="002A0A0E"/>
    <w:rsid w:val="002C66B4"/>
    <w:rsid w:val="002D38EA"/>
    <w:rsid w:val="002D50A2"/>
    <w:rsid w:val="002D68B6"/>
    <w:rsid w:val="002E0C6A"/>
    <w:rsid w:val="002E423E"/>
    <w:rsid w:val="002F315F"/>
    <w:rsid w:val="003001FB"/>
    <w:rsid w:val="0030376D"/>
    <w:rsid w:val="00322AD5"/>
    <w:rsid w:val="00326F90"/>
    <w:rsid w:val="00332CE2"/>
    <w:rsid w:val="003341C4"/>
    <w:rsid w:val="0034083C"/>
    <w:rsid w:val="00342482"/>
    <w:rsid w:val="00342B54"/>
    <w:rsid w:val="00346135"/>
    <w:rsid w:val="00355FF6"/>
    <w:rsid w:val="003611A7"/>
    <w:rsid w:val="003730E5"/>
    <w:rsid w:val="00374B56"/>
    <w:rsid w:val="00382B8D"/>
    <w:rsid w:val="00384CE2"/>
    <w:rsid w:val="003E1059"/>
    <w:rsid w:val="003F4FBC"/>
    <w:rsid w:val="00430ACA"/>
    <w:rsid w:val="00446CDA"/>
    <w:rsid w:val="004A5585"/>
    <w:rsid w:val="004B074D"/>
    <w:rsid w:val="004B6821"/>
    <w:rsid w:val="004D26E7"/>
    <w:rsid w:val="004E255B"/>
    <w:rsid w:val="004E32A3"/>
    <w:rsid w:val="004F71A3"/>
    <w:rsid w:val="00500F7C"/>
    <w:rsid w:val="00522D6D"/>
    <w:rsid w:val="00547865"/>
    <w:rsid w:val="00551730"/>
    <w:rsid w:val="00567382"/>
    <w:rsid w:val="00570D3F"/>
    <w:rsid w:val="005748BF"/>
    <w:rsid w:val="00590366"/>
    <w:rsid w:val="005E2B94"/>
    <w:rsid w:val="005F7019"/>
    <w:rsid w:val="005F772B"/>
    <w:rsid w:val="00600D13"/>
    <w:rsid w:val="00601430"/>
    <w:rsid w:val="00616DD3"/>
    <w:rsid w:val="00622D7D"/>
    <w:rsid w:val="00634EDA"/>
    <w:rsid w:val="00646812"/>
    <w:rsid w:val="00670A77"/>
    <w:rsid w:val="00680C84"/>
    <w:rsid w:val="00680FB0"/>
    <w:rsid w:val="006A1056"/>
    <w:rsid w:val="006C4862"/>
    <w:rsid w:val="006F4919"/>
    <w:rsid w:val="00726699"/>
    <w:rsid w:val="007358B4"/>
    <w:rsid w:val="00741B5C"/>
    <w:rsid w:val="00762AFB"/>
    <w:rsid w:val="007776E9"/>
    <w:rsid w:val="007830BC"/>
    <w:rsid w:val="007878E3"/>
    <w:rsid w:val="007D1E63"/>
    <w:rsid w:val="007E2836"/>
    <w:rsid w:val="007E67EE"/>
    <w:rsid w:val="00810DD7"/>
    <w:rsid w:val="008230F1"/>
    <w:rsid w:val="00834609"/>
    <w:rsid w:val="00863A11"/>
    <w:rsid w:val="008874B7"/>
    <w:rsid w:val="00892228"/>
    <w:rsid w:val="008A4D07"/>
    <w:rsid w:val="008A5316"/>
    <w:rsid w:val="008D5CD8"/>
    <w:rsid w:val="009340EE"/>
    <w:rsid w:val="00942215"/>
    <w:rsid w:val="009573D0"/>
    <w:rsid w:val="0096284E"/>
    <w:rsid w:val="00963494"/>
    <w:rsid w:val="00983F2C"/>
    <w:rsid w:val="00985C8C"/>
    <w:rsid w:val="00996728"/>
    <w:rsid w:val="009B62FE"/>
    <w:rsid w:val="00A009E9"/>
    <w:rsid w:val="00A27071"/>
    <w:rsid w:val="00A40FC7"/>
    <w:rsid w:val="00A46D68"/>
    <w:rsid w:val="00A5181F"/>
    <w:rsid w:val="00A63D58"/>
    <w:rsid w:val="00A64FB5"/>
    <w:rsid w:val="00A67BBE"/>
    <w:rsid w:val="00AA1D8D"/>
    <w:rsid w:val="00AA4261"/>
    <w:rsid w:val="00AB73A3"/>
    <w:rsid w:val="00AC0D28"/>
    <w:rsid w:val="00AD4338"/>
    <w:rsid w:val="00AD719D"/>
    <w:rsid w:val="00AE75D8"/>
    <w:rsid w:val="00AF3BA3"/>
    <w:rsid w:val="00B47730"/>
    <w:rsid w:val="00B52090"/>
    <w:rsid w:val="00B67512"/>
    <w:rsid w:val="00B80847"/>
    <w:rsid w:val="00BB40B9"/>
    <w:rsid w:val="00BC7479"/>
    <w:rsid w:val="00BE5540"/>
    <w:rsid w:val="00C145A6"/>
    <w:rsid w:val="00C1742D"/>
    <w:rsid w:val="00C45609"/>
    <w:rsid w:val="00C52246"/>
    <w:rsid w:val="00C55079"/>
    <w:rsid w:val="00CB0664"/>
    <w:rsid w:val="00CB0E91"/>
    <w:rsid w:val="00CB5258"/>
    <w:rsid w:val="00CB52F3"/>
    <w:rsid w:val="00CB6D61"/>
    <w:rsid w:val="00CC3A26"/>
    <w:rsid w:val="00CE39C9"/>
    <w:rsid w:val="00CF7D96"/>
    <w:rsid w:val="00D16F9E"/>
    <w:rsid w:val="00D3586D"/>
    <w:rsid w:val="00D4415E"/>
    <w:rsid w:val="00D4705E"/>
    <w:rsid w:val="00D62640"/>
    <w:rsid w:val="00D740B2"/>
    <w:rsid w:val="00D77C98"/>
    <w:rsid w:val="00D91129"/>
    <w:rsid w:val="00DC662C"/>
    <w:rsid w:val="00DF20AB"/>
    <w:rsid w:val="00E172C1"/>
    <w:rsid w:val="00E3748A"/>
    <w:rsid w:val="00E62DA1"/>
    <w:rsid w:val="00E66E74"/>
    <w:rsid w:val="00E94D28"/>
    <w:rsid w:val="00E95DB5"/>
    <w:rsid w:val="00E978AF"/>
    <w:rsid w:val="00EA438F"/>
    <w:rsid w:val="00EB2A49"/>
    <w:rsid w:val="00EC735F"/>
    <w:rsid w:val="00EE0062"/>
    <w:rsid w:val="00F025A0"/>
    <w:rsid w:val="00F0465F"/>
    <w:rsid w:val="00F31C28"/>
    <w:rsid w:val="00F36FDD"/>
    <w:rsid w:val="00F41841"/>
    <w:rsid w:val="00F427D7"/>
    <w:rsid w:val="00F61BB6"/>
    <w:rsid w:val="00F867B1"/>
    <w:rsid w:val="00FA7199"/>
    <w:rsid w:val="00FC21A2"/>
    <w:rsid w:val="00FC5029"/>
    <w:rsid w:val="00FC693F"/>
    <w:rsid w:val="00FE0BC7"/>
    <w:rsid w:val="00FE562B"/>
    <w:rsid w:val="00FF3339"/>
    <w:rsid w:val="00FF6C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092FB6"/>
  <w14:defaultImageDpi w14:val="300"/>
  <w15:docId w15:val="{085C8DF4-BCAA-4BEB-B365-72242F674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color w:val="000000"/>
      <w:sz w:val="24"/>
    </w:rPr>
  </w:style>
  <w:style w:type="paragraph" w:styleId="Nagwek1">
    <w:name w:val="heading 1"/>
    <w:basedOn w:val="Normalny"/>
    <w:next w:val="Normalny"/>
    <w:link w:val="Nagwek1Znak"/>
    <w:uiPriority w:val="9"/>
    <w:qFormat/>
    <w:rsid w:val="00FA7199"/>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FA7199"/>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A7199"/>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FA7199"/>
    <w:rPr>
      <w:rFonts w:asciiTheme="majorHAnsi" w:eastAsiaTheme="majorEastAsia" w:hAnsiTheme="majorHAnsi" w:cstheme="majorBidi"/>
      <w:b/>
      <w:bCs/>
      <w:color w:val="000000" w:themeColor="tex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E94D28"/>
    <w:rPr>
      <w:color w:val="0563C1"/>
      <w:u w:val="single"/>
    </w:rPr>
  </w:style>
  <w:style w:type="paragraph" w:styleId="Poprawka">
    <w:name w:val="Revision"/>
    <w:hidden/>
    <w:uiPriority w:val="99"/>
    <w:semiHidden/>
    <w:rsid w:val="002E0C6A"/>
    <w:pPr>
      <w:spacing w:after="0" w:line="240" w:lineRule="auto"/>
    </w:pPr>
    <w:rPr>
      <w:rFonts w:ascii="Calibri" w:hAnsi="Calibri"/>
      <w:color w:val="000000"/>
      <w:sz w:val="24"/>
    </w:rPr>
  </w:style>
  <w:style w:type="character" w:styleId="UyteHipercze">
    <w:name w:val="FollowedHyperlink"/>
    <w:basedOn w:val="Domylnaczcionkaakapitu"/>
    <w:uiPriority w:val="99"/>
    <w:semiHidden/>
    <w:unhideWhenUsed/>
    <w:rsid w:val="00FE562B"/>
    <w:rPr>
      <w:color w:val="800080" w:themeColor="followedHyperlink"/>
      <w:u w:val="single"/>
    </w:rPr>
  </w:style>
  <w:style w:type="paragraph" w:styleId="Tekstdymka">
    <w:name w:val="Balloon Text"/>
    <w:basedOn w:val="Normalny"/>
    <w:link w:val="TekstdymkaZnak"/>
    <w:uiPriority w:val="99"/>
    <w:semiHidden/>
    <w:unhideWhenUsed/>
    <w:rsid w:val="006F491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4919"/>
    <w:rPr>
      <w:rFonts w:ascii="Segoe UI" w:hAnsi="Segoe UI" w:cs="Segoe UI"/>
      <w:color w:val="000000"/>
      <w:sz w:val="18"/>
      <w:szCs w:val="18"/>
    </w:rPr>
  </w:style>
  <w:style w:type="character" w:styleId="Nierozpoznanawzmianka">
    <w:name w:val="Unresolved Mention"/>
    <w:basedOn w:val="Domylnaczcionkaakapitu"/>
    <w:uiPriority w:val="99"/>
    <w:semiHidden/>
    <w:unhideWhenUsed/>
    <w:rsid w:val="00834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2425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zja.pl/deklaracja-dostepnos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dd@vizja.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zja.pl/deklaracja-dostepnosci/" TargetMode="External"/><Relationship Id="rId4" Type="http://schemas.openxmlformats.org/officeDocument/2006/relationships/settings" Target="settings.xml"/><Relationship Id="rId9" Type="http://schemas.openxmlformats.org/officeDocument/2006/relationships/hyperlink" Target="https://vizja.pl/deklaracja-dostepnosc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CC2FA-B0E5-45E9-9E03-962CD00D3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3</Pages>
  <Words>822</Words>
  <Characters>4932</Characters>
  <Application>Microsoft Office Word</Application>
  <DocSecurity>0</DocSecurity>
  <Lines>41</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nr 7 zapewnienie dostępności Biura Doskonałości Dydaktycznej i jego usług</dc:title>
  <dc:subject/>
  <dc:creator>Biuro Doskonałości Dydaktycznej;Uniwersytet VIZJA</dc:creator>
  <cp:keywords>BDD, potrzeby szkoleniowe, dydaktyka, Uniwersytet VIZJA, formularz dostępny</cp:keywords>
  <dc:description>Procedura nr 7 zapewnienie dostępności Biura Doskonałości Dydaktycznej i jego usług</dc:description>
  <cp:lastModifiedBy>Anna Dmoch ADM</cp:lastModifiedBy>
  <cp:revision>26</cp:revision>
  <cp:lastPrinted>2026-08-05T07:56:00Z</cp:lastPrinted>
  <dcterms:created xsi:type="dcterms:W3CDTF">2026-07-22T09:33:00Z</dcterms:created>
  <dcterms:modified xsi:type="dcterms:W3CDTF">2026-08-10T09:44:00Z</dcterms:modified>
  <cp:category/>
</cp:coreProperties>
</file>