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Architektura systemów komputerowych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Kierunek/-i studiów  / rok studiów / semestr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Informatyka/1/II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Tryb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Niestacjonarny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Forma zajęć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 w:ascii="Garamond" w:hAnsi="Garamond"/>
                <w:color w:val="auto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Koordynator przedmiotu: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mgr inż. Łukasz Laszko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ogólne cele dydaktyczne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Zdobycie wiedzy w zakresie: 1. podstaw działania i budowy układów cyfrowych, 2. zasady pracy systemu komputerowego, w tym podstawowych składowych: procesora, pamięci, podzespołów wejścia-wyjścia 3. architektury systemów komputerowych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 są kryteria zaliczenia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Zaliczyć wszystkie zadania ze sprawdzianów na minimum 4 pkt.,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Zaliczyć zadanie projektowe na minimum 4 pkt.,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Zaliczyć minimum 1 zadanie z asemblera na minimum 4 pkt.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4.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Zadania zaliczone w terminie podstawowym są warte maks. 10 pkt.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5.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Zadania zaliczone w terminie poprawkowym są warte maks. 8 pkt.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 laboratori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wystawiana jest ocena uogólniona zal/nzal. Zebrane punkty stanowią część składową oceny końcowej z przedmiotu.</w:t>
            </w:r>
          </w:p>
        </w:tc>
      </w:tr>
      <w:tr>
        <w:trPr>
          <w:trHeight w:val="1305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kryteria zaliczenia tego przedmiotu na ocenę celującą?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Uzyskanie z laboratoriów co najmniej 85% z 90 możliwych punktów oraz wykonanie w pełni dodatkowego zadania projektowego, a także uzyskanie na egzaminie co najmniej 85% z 50 możliwych punktów.</w:t>
            </w:r>
          </w:p>
        </w:tc>
      </w:tr>
      <w:tr>
        <w:trPr>
          <w:trHeight w:val="1253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Pozostałe informacje, dotyczące tego przedmiotu, ważne dla studenta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en-GB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Systemy liczbowe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Student będzie umiał przechodzić miedzy różnymi kodami systemu binarnego.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umiał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wykon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ywać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operacje arytmetyczne na liczbach w kodach binarnych.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Konwersje liczb dziesiętnych całkowitych i ułamkowych na kody binarne.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Operacje arytmetyczne na liczbach binarnych.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Kod NKB i U2.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5"/>
      </w:tblGrid>
      <w:tr>
        <w:trPr>
          <w:trHeight w:val="903" w:hRule="atLeast"/>
        </w:trPr>
        <w:tc>
          <w:tcPr>
            <w:tcW w:w="10456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Systemy liczbowe.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Format zmiennoprzecinkowy liczb wymiernych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Student będzie umiał przechodzić miedzy różnymi kodami systemu binarnego.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umiał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wykon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ywać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operacje arytmetyczne na liczbach w kodach binarnych.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umiał kodować </w:t>
            </w:r>
            <w:bookmarkStart w:id="0" w:name="__DdeLink__1038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liczby wymierne w formacie zmiennoprzecinkowym IEEE754</w:t>
            </w:r>
            <w:bookmarkEnd w:id="0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Konwersje liczb dziesiętnych całkowitych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 kod BCD.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Operacje arytmetyczne na liczbach binarnych.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Kod BCD.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Kodowanie liczb wymiernych w formacie zmiennoprzecinkowym IEEE754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https://www.h-schmidt.net/FloatConverter/IEEE754.html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br w:type="page"/>
      </w: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DejaVuSerifCondensed" w:hAnsi="DejaVuSerifCondensed" w:eastAsia="Calibri" w:cs="DejaVuSerifCondensed" w:eastAsiaTheme="minorHAnsi"/>
                <w:b/>
                <w:b/>
                <w:color w:val="auto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DejaVuSerifCondensed" w:eastAsiaTheme="minorHAnsi" w:ascii="DejaVuSerifCondensed" w:hAnsi="DejaVuSerifCondensed"/>
                <w:b/>
                <w:color w:val="auto"/>
                <w:kern w:val="0"/>
                <w:sz w:val="18"/>
                <w:szCs w:val="18"/>
                <w:lang w:val="pl-PL" w:eastAsia="en-US" w:bidi="ar-SA"/>
              </w:rPr>
              <w:t xml:space="preserve">Sprawdzian 1. </w:t>
              <w:br/>
              <w:t>Maski bitowe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bookmarkStart w:id="1" w:name="__DdeLink__1040_4079729422"/>
            <w:r>
              <w:rPr>
                <w:rFonts w:ascii="Garamond" w:hAnsi="Garamond"/>
                <w:lang w:val="pl-PL"/>
              </w:rPr>
              <w:t>S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tudent będzie umiał ustawiać pojedyncze bity w słowie bitowym.</w:t>
            </w:r>
            <w:bookmarkEnd w:id="1"/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umiał sprawdzać ustawienie pojedynczych bitów w słowie bitowym.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tudent będzie rozumiał znaczenie masek bitowych w programowaniu komputerów.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" w:name="__DdeLink__1052_4079729422"/>
            <w:r>
              <w:rPr>
                <w:rFonts w:eastAsia="Calibri" w:cs="DejaVuSerifCondensed" w:ascii="DejaVuSerifCondensed" w:hAnsi="DejaVuSerifCondensed"/>
                <w:kern w:val="0"/>
                <w:sz w:val="18"/>
                <w:szCs w:val="18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Sprawdzian z zadań realizowanych na zajęciach 1 i 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" w:name="__DdeLink__1052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Maski bitowe.</w:t>
            </w:r>
            <w:bookmarkEnd w:id="3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" w:name="__DdeLink__1072_4079729422"/>
            <w:bookmarkStart w:id="5" w:name="__DdeLink__1196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6" w:name="__DdeLink__1072_4079729422"/>
            <w:bookmarkStart w:id="7" w:name="__DdeLink__1196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  <w:bookmarkEnd w:id="6"/>
            <w:bookmarkEnd w:id="7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</w:t>
            </w:r>
            <w:bookmarkStart w:id="8" w:name="__DdeLink__1048_4079729422"/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ynteza układów kombinacyjnych</w:t>
            </w:r>
            <w:bookmarkEnd w:id="8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umiał zaprojektować prosty układ kombinacyjny.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umiał minimalizować funkcje boolowskie.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podstawowe idee sterowania sprzętowego w systemie komputerowym.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ynteza układów kombinacyjnych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Metody opisu i minimalizacji funkcji boolowskich: tablica prawdy, formuła koni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un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kcyjno-alternatywna, formuła alternatywno-koniunkcyjnia, tablica Karnaugh’a.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bookmarkStart w:id="9" w:name="__DdeLink__1070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Wydanie i omówienie zadania projektowego z zakresu syntezy układów kombinacyjnych.</w:t>
            </w:r>
            <w:bookmarkEnd w:id="9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4.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Wydanie i omówienie zadania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dodatkowego dla osób starających się o ocenę celującą z przedmiotu.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0" w:name="__DdeLink__120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1" w:name="__DdeLink__1060_4079729422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  <w:bookmarkEnd w:id="1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2" w:name="__DdeLink__120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  <w:bookmarkEnd w:id="1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Digital Works jako narzędzie wspomagające kształcenie inżynierów informatyki w zakresie symulacji cyfrowych układów logicznych,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2019,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DOI: 10.15584/eti.2019.3.37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 w:ascii="Garamond" w:hAnsi="Garamond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Sprawdzian 2.</w:t>
              <w:br/>
              <w:t>Wprowadzenie do języka asembler dla procesora x86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Start w:id="13" w:name="__DdeLink__1199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</w:t>
            </w:r>
            <w:bookmarkEnd w:id="1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umiał napisać prosty program w języku asembler dla procesora x86.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bookmarkStart w:id="14" w:name="__DdeLink__1054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umiał posługiwać się środowiskiem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TASM.</w:t>
            </w:r>
            <w:bookmarkEnd w:id="14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Student będzie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umiał analizować program w czasie jego działania.</w:t>
            </w:r>
            <w:bookmarkStart w:id="15" w:name="__DdeLink__1056_4079729422"/>
            <w:bookmarkEnd w:id="15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DejaVuSerifCondensed" w:ascii="DejaVuSerifCondensed" w:hAnsi="DejaVuSerifCondensed"/>
                <w:kern w:val="0"/>
                <w:sz w:val="18"/>
                <w:szCs w:val="18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Sprawdzian z zadań realizowanych na zajęciach 3 i 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2. Wprowadzenie do środowiska TASM, kompilacja, łączenie.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3. Analiza programu w środowisku</w:t>
            </w:r>
            <w:r>
              <w:rPr>
                <w:rFonts w:eastAsia="Calibri" w:cs="" w:ascii="Garamond" w:hAnsi="Garamond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Turbo Debugger.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Irvine K. R.. Asembler dla procesorów Intel,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Syck G., Turbo Assembler. Biblia użytkownika, 2002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Stallings W.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bookmarkStart w:id="16" w:name="__DdeLink__1062_4079729422"/>
            <w:r>
              <w:rPr>
                <w:rFonts w:eastAsia="Calibri" w:cs="" w:cstheme="minorBidi" w:eastAsiaTheme="minorHAnsi" w:ascii="Garamond" w:hAnsi="Garamond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Asembler. Analiza stanu i ustawianie flag procesora</w:t>
            </w:r>
            <w:bookmarkEnd w:id="16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umiał analizować stan procesora w czasie wykonania programu.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umiał ustawiać flagi procesora dostępne w rejestrze stanu 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szczegóły działania niektórych rozkazów procesora: arytmetycznych, logicznych, przesunięć i rotacji.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Analiza stanu procesora po wykonaniu niektórych rozkazów.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2. Ustawianie flag procesora w języku asembler.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bookmarkStart w:id="17" w:name="__DdeLink__1068_4079729422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Samodzielna realizacja zadania programistycznego z zakresu ustawiania flag procesora.</w:t>
            </w:r>
            <w:bookmarkEnd w:id="17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8" w:name="__DdeLink__1058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Irvine K. R., Asembler dla procesorów Intel,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Syck G., Turbo Assembler. Biblia użytkownika, 2002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9" w:name="__DdeLink__1058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 Organizacja i architektura systemu komputerowego, 2009</w:t>
            </w:r>
            <w:bookmarkEnd w:id="19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Asembler. Korzystanie z funkcji systemowych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0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umiał wykorzystać tablic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w swoim programie w języku asembler.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umiał korzystać z funkcji systemowych (INT 21h).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21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bookmarkEnd w:id="2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umiał stosować </w:t>
            </w:r>
            <w:bookmarkStart w:id="22" w:name="__DdeLink__1064_407972942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skoki, rozgałęzienia i instrukcje warunkowe w swoim programie w języku asembler.</w:t>
            </w:r>
            <w:bookmarkEnd w:id="22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3" w:name="__DdeLink__1237_1345799083"/>
            <w:bookmarkEnd w:id="2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Segment danych: zmienne proste i tablicowe.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Obsługa wejścia i wyjścia w programie. Funkcja 1h, 2h, 9h i 0Ah p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rzerwania 21H.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Sterowanie wykonywaniem się programu: skoki, rozgałęzienia i instrukcje warunkowe.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4" w:name="__DdeLink__1237_1345799083"/>
            <w:bookmarkEnd w:id="24"/>
            <w:r>
              <w:rPr>
                <w:rFonts w:ascii="Garamond" w:hAnsi="Garamond"/>
                <w:sz w:val="22"/>
                <w:lang w:val="pl-PL"/>
              </w:rPr>
              <w:t>4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Samodzielna realizacja zadania programistycznego z zakresu korzystania z funkcji systemowych.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5" w:name="__DdeLink__1074_4079729422"/>
            <w:bookmarkStart w:id="26" w:name="__DdeLink__1058_4079729422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Irvine K. R., Asembler dla procesorów Intel,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Syck G., Turbo Assembler. Biblia użytkownika, 2002</w:t>
            </w:r>
            <w:bookmarkEnd w:id="25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7" w:name="__DdeLink__1058_4079729422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 Organizacja i architektura systemu komputerowego, 2009</w:t>
            </w:r>
            <w:bookmarkEnd w:id="27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(2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 w:ascii="Garamond" w:hAnsi="Garamond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Repetytorium. Obrona wydanych zadań.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 miał możliwość uzupełnienia swoich umiejętności z zakresu arytmetyki komputerów, projektowania układów kombinacyjnych oraz programowania w języku asembler.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Sprawdzian poprawkowy z zakresu sprawdzianów 1 i 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Obrona wydanych zadań domowych.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Irvine K. R., Asembler dla procesorów Intel,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Syck G., Turbo Assembler. Biblia użytkownika, 2002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Noto Sans">
    <w:charset w:val="01"/>
    <w:family w:val="roman"/>
    <w:pitch w:val="variable"/>
  </w:font>
  <w:font w:name="Arial Unicode MS">
    <w:charset w:val="01"/>
    <w:family w:val="roman"/>
    <w:pitch w:val="variable"/>
  </w:font>
  <w:font w:name="Garamond"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19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17" y="0"/>
              <wp:lineTo x="-17" y="21108"/>
              <wp:lineTo x="21312" y="21108"/>
              <wp:lineTo x="21312" y="0"/>
              <wp:lineTo x="-17" y="0"/>
            </wp:wrapPolygon>
          </wp:wrapTight>
          <wp:docPr id="1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inline distT="0" distB="0" distL="0" distR="0">
              <wp:extent cx="308610" cy="30861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800" cy="30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style="position:absolute;margin-left:0pt;margin-top:-24.3pt;width:24.2pt;height:24.2pt;mso-wrap-style:none;v-text-anchor:middle;mso-position-vertical:top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2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217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8217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1c1cc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fa4e45"/>
    <w:rPr>
      <w:i/>
      <w:iCs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217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33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Domylnystylrysowania">
    <w:name w:val="Domyślny styl rysowania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en-US" w:bidi="ar-SA"/>
    </w:rPr>
  </w:style>
  <w:style w:type="paragraph" w:styleId="Obiektbezwypenienia">
    <w:name w:val="Obiekt bez wypełnienia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Podpis"/>
    <w:qFormat/>
    <w:pPr/>
    <w:rPr/>
  </w:style>
  <w:style w:type="paragraph" w:styleId="TytuA4">
    <w:name w:val="Tytuł A4"/>
    <w:basedOn w:val="A4"/>
    <w:qFormat/>
    <w:pPr/>
    <w:rPr>
      <w:rFonts w:ascii="Noto Sans" w:hAnsi="Noto Sans"/>
      <w:sz w:val="88"/>
    </w:rPr>
  </w:style>
  <w:style w:type="paragraph" w:styleId="NagwekA4">
    <w:name w:val="Nagłówek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TytuA0">
    <w:name w:val="Tytuł A0"/>
    <w:basedOn w:val="A4"/>
    <w:qFormat/>
    <w:pPr/>
    <w:rPr>
      <w:rFonts w:ascii="Noto Sans" w:hAnsi="Noto Sans"/>
      <w:sz w:val="192"/>
    </w:rPr>
  </w:style>
  <w:style w:type="paragraph" w:styleId="NagwekA0">
    <w:name w:val="Nagłówek A0"/>
    <w:basedOn w:val="A4"/>
    <w:qFormat/>
    <w:pPr/>
    <w:rPr>
      <w:rFonts w:ascii="Noto Sans" w:hAnsi="Noto Sans"/>
      <w:sz w:val="144"/>
    </w:rPr>
  </w:style>
  <w:style w:type="paragraph" w:styleId="TekstA0">
    <w:name w:val="Tekst A0"/>
    <w:basedOn w:val="A4"/>
    <w:qFormat/>
    <w:pPr/>
    <w:rPr>
      <w:rFonts w:ascii="Noto Sans" w:hAnsi="Noto Sans"/>
      <w:sz w:val="36"/>
    </w:rPr>
  </w:style>
  <w:style w:type="paragraph" w:styleId="Grafika">
    <w:name w:val="Grafik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en-GB" w:eastAsia="en-US" w:bidi="ar-SA"/>
    </w:rPr>
  </w:style>
  <w:style w:type="paragraph" w:styleId="Ksztaty">
    <w:name w:val="Kształty"/>
    <w:basedOn w:val="Grafika"/>
    <w:qFormat/>
    <w:pPr/>
    <w:rPr>
      <w:rFonts w:ascii="Liberation Sans" w:hAnsi="Liberation Sans"/>
      <w:b/>
      <w:sz w:val="28"/>
    </w:rPr>
  </w:style>
  <w:style w:type="paragraph" w:styleId="Wypenione">
    <w:name w:val="Wypełnione"/>
    <w:basedOn w:val="Ksztaty"/>
    <w:qFormat/>
    <w:pPr/>
    <w:rPr>
      <w:rFonts w:ascii="Liberation Sans" w:hAnsi="Liberation Sans"/>
      <w:b/>
      <w:sz w:val="28"/>
    </w:rPr>
  </w:style>
  <w:style w:type="paragraph" w:styleId="Wypeninoneniebieskim">
    <w:name w:val="Wypełninone niebieski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zielonym">
    <w:name w:val="Wypełnione ziel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czerwonym">
    <w:name w:val="Wypełnione czerw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tym">
    <w:name w:val="Wypełnione żółt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Szkic">
    <w:name w:val="Szkic"/>
    <w:basedOn w:val="Ksztaty"/>
    <w:qFormat/>
    <w:pPr/>
    <w:rPr>
      <w:rFonts w:ascii="Liberation Sans" w:hAnsi="Liberation Sans"/>
      <w:b/>
      <w:sz w:val="28"/>
    </w:rPr>
  </w:style>
  <w:style w:type="paragraph" w:styleId="Niebieskikonspekt">
    <w:name w:val="Niebieski konspekt"/>
    <w:basedOn w:val="Szkic"/>
    <w:qFormat/>
    <w:pPr/>
    <w:rPr>
      <w:rFonts w:ascii="Liberation Sans" w:hAnsi="Liberation Sans"/>
      <w:b/>
      <w:color w:val="355269"/>
      <w:sz w:val="28"/>
    </w:rPr>
  </w:style>
  <w:style w:type="paragraph" w:styleId="Zielonykonspekt">
    <w:name w:val="Zielony konspekt"/>
    <w:basedOn w:val="Szkic"/>
    <w:qFormat/>
    <w:pPr/>
    <w:rPr>
      <w:rFonts w:ascii="Liberation Sans" w:hAnsi="Liberation Sans"/>
      <w:b/>
      <w:color w:val="127622"/>
      <w:sz w:val="28"/>
    </w:rPr>
  </w:style>
  <w:style w:type="paragraph" w:styleId="Czerwonykonspekt">
    <w:name w:val="Czerwony konspekt"/>
    <w:basedOn w:val="Szkic"/>
    <w:qFormat/>
    <w:pPr/>
    <w:rPr>
      <w:rFonts w:ascii="Liberation Sans" w:hAnsi="Liberation Sans"/>
      <w:b/>
      <w:color w:val="C9211E"/>
      <w:sz w:val="28"/>
    </w:rPr>
  </w:style>
  <w:style w:type="paragraph" w:styleId="Tykonspekt">
    <w:name w:val="Żółty konspekt"/>
    <w:basedOn w:val="Szkic"/>
    <w:qFormat/>
    <w:pPr/>
    <w:rPr>
      <w:rFonts w:ascii="Liberation Sans" w:hAnsi="Liberation Sans"/>
      <w:b/>
      <w:color w:val="B47804"/>
      <w:sz w:val="28"/>
    </w:rPr>
  </w:style>
  <w:style w:type="paragraph" w:styleId="Linie">
    <w:name w:val="Linie"/>
    <w:basedOn w:val="Grafika"/>
    <w:qFormat/>
    <w:pPr/>
    <w:rPr>
      <w:rFonts w:ascii="Liberation Sans" w:hAnsi="Liberation Sans"/>
      <w:sz w:val="36"/>
    </w:rPr>
  </w:style>
  <w:style w:type="paragraph" w:styleId="Liniazestrzakami">
    <w:name w:val="Linia ze strzałkami"/>
    <w:basedOn w:val="Linie"/>
    <w:qFormat/>
    <w:pPr/>
    <w:rPr>
      <w:rFonts w:ascii="Liberation Sans" w:hAnsi="Liberation Sans"/>
      <w:sz w:val="36"/>
    </w:rPr>
  </w:style>
  <w:style w:type="paragraph" w:styleId="Liniaprzerywana">
    <w:name w:val="Linia przerywana"/>
    <w:basedOn w:val="Linie"/>
    <w:qFormat/>
    <w:pPr/>
    <w:rPr>
      <w:rFonts w:ascii="Liberation Sans" w:hAnsi="Liberation Sans"/>
      <w:sz w:val="36"/>
    </w:rPr>
  </w:style>
  <w:style w:type="paragraph" w:styleId="SlajdtytuowyLTGliederung1">
    <w:name w:val="Slajd tytułowy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Gliederung2">
    <w:name w:val="Slajd tytułowy~LT~Gliederung 2"/>
    <w:basedOn w:val="Slajdtytuowy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SlajdtytuowyLTGliederung3">
    <w:name w:val="Slajd tytułowy~LT~Gliederung 3"/>
    <w:basedOn w:val="Slajdtytuowy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4">
    <w:name w:val="Slajd tytułowy~LT~Gliederung 4"/>
    <w:basedOn w:val="Slajdtytuowy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5">
    <w:name w:val="Slajd tytułowy~LT~Gliederung 5"/>
    <w:basedOn w:val="Slajdtytuowy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6">
    <w:name w:val="Slajd tytułowy~LT~Gliederung 6"/>
    <w:basedOn w:val="Slajdtytuowy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7">
    <w:name w:val="Slajd tytułowy~LT~Gliederung 7"/>
    <w:basedOn w:val="Slajdtytuowy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8">
    <w:name w:val="Slajd tytułowy~LT~Gliederung 8"/>
    <w:basedOn w:val="Slajdtytuowy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9">
    <w:name w:val="Slajd tytułowy~LT~Gliederung 9"/>
    <w:basedOn w:val="Slajdtytuowy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Titel">
    <w:name w:val="Slajd tytułowy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SlajdtytuowyLTUntertitel">
    <w:name w:val="Slajd tytułowy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Notizen">
    <w:name w:val="Slajd tytułow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SlajdtytuowyLTHintergrundobjekte">
    <w:name w:val="Slajd tytułow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SlajdtytuowyLTHintergrund">
    <w:name w:val="Slajd tytułow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en-GB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iektyta">
    <w:name w:val="Obiekty tł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To">
    <w:name w:val="Tł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Notatki">
    <w:name w:val="Notatki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Konspekt1">
    <w:name w:val="Konspekt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Konspekt2">
    <w:name w:val="Konspekt 2"/>
    <w:basedOn w:val="Konspekt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Konspekt3">
    <w:name w:val="Konspekt 3"/>
    <w:basedOn w:val="Konspekt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Konspekt4">
    <w:name w:val="Konspekt 4"/>
    <w:basedOn w:val="Konspekt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5">
    <w:name w:val="Konspekt 5"/>
    <w:basedOn w:val="Konspekt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6">
    <w:name w:val="Konspekt 6"/>
    <w:basedOn w:val="Konspekt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7">
    <w:name w:val="Konspekt 7"/>
    <w:basedOn w:val="Konspekt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8">
    <w:name w:val="Konspekt 8"/>
    <w:basedOn w:val="Konspekt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9">
    <w:name w:val="Konspekt 9"/>
    <w:basedOn w:val="Konspekt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ytuizawartoLTGliederung1">
    <w:name w:val="Tytuł i zawartość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Gliederung2">
    <w:name w:val="Tytuł i zawartość~LT~Gliederung 2"/>
    <w:basedOn w:val="Tytuizawart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tuizawartoLTGliederung3">
    <w:name w:val="Tytuł i zawartość~LT~Gliederung 3"/>
    <w:basedOn w:val="Tytuizawart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4">
    <w:name w:val="Tytuł i zawartość~LT~Gliederung 4"/>
    <w:basedOn w:val="Tytuizawart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5">
    <w:name w:val="Tytuł i zawartość~LT~Gliederung 5"/>
    <w:basedOn w:val="Tytuizawart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6">
    <w:name w:val="Tytuł i zawartość~LT~Gliederung 6"/>
    <w:basedOn w:val="Tytuizawart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7">
    <w:name w:val="Tytuł i zawartość~LT~Gliederung 7"/>
    <w:basedOn w:val="Tytuizawart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8">
    <w:name w:val="Tytuł i zawartość~LT~Gliederung 8"/>
    <w:basedOn w:val="Tytuizawart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9">
    <w:name w:val="Tytuł i zawartość~LT~Gliederung 9"/>
    <w:basedOn w:val="Tytuizawart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Titel">
    <w:name w:val="Tytuł i zawartość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tuizawartoLTUntertitel">
    <w:name w:val="Tytuł i zawartość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Notizen">
    <w:name w:val="Tytuł i zawartość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tuizawartoLTHintergrundobjekte">
    <w:name w:val="Tytuł i zawartość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tuizawartoLTHintergrund">
    <w:name w:val="Tytuł i zawartość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Gliederung1">
    <w:name w:val="Tylko tytuł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lkotytuLTGliederung2">
    <w:name w:val="Tylko tytuł~LT~Gliederung 2"/>
    <w:basedOn w:val="Tylkotytu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lkotytuLTGliederung3">
    <w:name w:val="Tylko tytuł~LT~Gliederung 3"/>
    <w:basedOn w:val="Tylkotytu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4">
    <w:name w:val="Tylko tytuł~LT~Gliederung 4"/>
    <w:basedOn w:val="Tylkotytu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5">
    <w:name w:val="Tylko tytuł~LT~Gliederung 5"/>
    <w:basedOn w:val="Tylkotytu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6">
    <w:name w:val="Tylko tytuł~LT~Gliederung 6"/>
    <w:basedOn w:val="Tylkotytu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7">
    <w:name w:val="Tylko tytuł~LT~Gliederung 7"/>
    <w:basedOn w:val="Tylkotytu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8">
    <w:name w:val="Tylko tytuł~LT~Gliederung 8"/>
    <w:basedOn w:val="Tylkotytu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9">
    <w:name w:val="Tylko tytuł~LT~Gliederung 9"/>
    <w:basedOn w:val="Tylkotytu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Titel">
    <w:name w:val="Tylko tytuł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lkotytuLTUntertitel">
    <w:name w:val="Tylko tytuł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lkotytuLTNotizen">
    <w:name w:val="Tylko tytuł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lkotytuLTHintergrundobjekte">
    <w:name w:val="Tylko tytuł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Hintergrund">
    <w:name w:val="Tylko tytuł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BrightBlueLTGliederung1">
    <w:name w:val="BrightBlue~LT~Gliederung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BrightBlueLTGliederung2">
    <w:name w:val="BrightBlue~LT~Gliederung 2"/>
    <w:basedOn w:val="BrightBlueLTGliederung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Titel">
    <w:name w:val="BrightBlue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FFFFFF"/>
      <w:kern w:val="2"/>
      <w:sz w:val="71"/>
      <w:szCs w:val="24"/>
      <w:u w:val="none"/>
      <w:em w:val="none"/>
      <w:lang w:val="en-GB" w:eastAsia="en-US" w:bidi="ar-SA"/>
    </w:rPr>
  </w:style>
  <w:style w:type="paragraph" w:styleId="BrightBlueLTUntertitel">
    <w:name w:val="BrightBlu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BrightBlueLTNotizen">
    <w:name w:val="BrightBlue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BrightBlueLTHintergrundobjekte">
    <w:name w:val="BrightBlu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BrightBlueLTHintergrund">
    <w:name w:val="BrightBlu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4B8-6D06-4495-B1F5-1595D8D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LibreOffice/7.1.0.3$Linux_X86_64 LibreOffice_project/10$Build-3</Application>
  <AppVersion>15.0000</AppVersion>
  <Pages>9</Pages>
  <Words>1175</Words>
  <Characters>7386</Characters>
  <CharactersWithSpaces>8394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2021-03-01T19:58:00Z</dcterms:created>
  <dc:creator>Dell</dc:creator>
  <dc:description/>
  <dc:language>pl-PL</dc:language>
  <cp:lastModifiedBy/>
  <dcterms:modified xsi:type="dcterms:W3CDTF">2021-03-08T13:35:22Z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