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130B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38556543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3F1A9421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79B19931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704B3F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4ED986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4FBB2BC" w14:textId="5CF1D4BD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Metody ilościowe - statystyka</w:t>
            </w:r>
          </w:p>
        </w:tc>
      </w:tr>
      <w:tr w:rsidR="005702AD" w:rsidRPr="00FD3EB7" w14:paraId="1BECFEA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7899C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5FB0C7C7" w14:textId="657514F8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rachunkowość, Zarządzanie/pierwszy rok/drugi semestr</w:t>
            </w:r>
          </w:p>
        </w:tc>
      </w:tr>
      <w:tr w:rsidR="005536E5" w:rsidRPr="00766C29" w14:paraId="15B5F39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F11817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5360DA2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5702AD" w:rsidRPr="00766C29" w14:paraId="02D42A3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4FC03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8E4405" w14:textId="4A8DBEDB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FD3EB7" w14:paraId="23B3B77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64633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64016B3" w14:textId="420D00FC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 godzin w trybie stacjonarnym/ 24 godziny w trybie niestacjonarnym</w:t>
            </w:r>
          </w:p>
        </w:tc>
      </w:tr>
      <w:tr w:rsidR="005702AD" w:rsidRPr="00FD3EB7" w14:paraId="57BE972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93327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A04DDD1" w14:textId="04D87EA8" w:rsidR="005702AD" w:rsidRPr="00FD3EB7" w:rsidRDefault="00B80B6D" w:rsidP="00766C29">
            <w:pPr>
              <w:rPr>
                <w:rFonts w:ascii="Garamond" w:hAnsi="Garamond"/>
                <w:lang w:val="pl-PL"/>
              </w:rPr>
            </w:pPr>
            <w:r w:rsidRPr="00FD3EB7">
              <w:rPr>
                <w:rFonts w:ascii="Garamond" w:hAnsi="Garamond"/>
                <w:lang w:val="pl-PL"/>
              </w:rPr>
              <w:t>Prof. AEH dr hab. Tomasz Kuszewski</w:t>
            </w:r>
          </w:p>
        </w:tc>
      </w:tr>
      <w:tr w:rsidR="00CA00EE" w:rsidRPr="00FD3EB7" w14:paraId="2F7E708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B9B984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10ECA95" w14:textId="382D44B8" w:rsidR="00CA00EE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dydaktycznym przedmiotu jest zapoznanie studentów z zasadami i metodami analizy statystycznej w zakresie narzędzi statystyki opisowej. Cel dydaktyczny jest realizowany przez prezentację metod ilościowego badania zjawisk i procesów gospodarczych z dużym naciskiem położonym na interpretację uzyskanych rezultatów obliczeń numerycznych.</w:t>
            </w:r>
          </w:p>
        </w:tc>
      </w:tr>
      <w:tr w:rsidR="005702AD" w:rsidRPr="00FD3EB7" w14:paraId="060D726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AEA516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7000003" w14:textId="4FD5B1F4" w:rsidR="005702A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Przedmiot jest zaliczany na ocenę. Podstawą do wystawienia oceny jest rezultat egzaminu pisemnego. </w:t>
            </w:r>
          </w:p>
        </w:tc>
      </w:tr>
      <w:tr w:rsidR="004E5707" w:rsidRPr="00FD3EB7" w14:paraId="644344C9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EBC75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9D065AA" w14:textId="77777777" w:rsidR="004E5707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ubiegający się o ocenę celującą powinien:</w:t>
            </w:r>
          </w:p>
          <w:p w14:paraId="1D6C3104" w14:textId="77777777" w:rsidR="00B80B6D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zaliczyć ćwiczenia na ocenę bardzo dobrą,</w:t>
            </w:r>
          </w:p>
          <w:p w14:paraId="23C6FCAA" w14:textId="77777777" w:rsidR="00B80B6D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zdać egzamin na ocenę bardzo dobrą,</w:t>
            </w:r>
          </w:p>
          <w:p w14:paraId="0C4C4016" w14:textId="7F2AB8BC" w:rsidR="00B80B6D" w:rsidRPr="00766C29" w:rsidRDefault="00B80B6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wykonać projekt statystyczny zlecony przez wykładowcę, polegający na dokonaniu analizy statystycznej zadanego zbioru danych i </w:t>
            </w:r>
            <w:r w:rsidR="00E82577">
              <w:rPr>
                <w:rFonts w:ascii="Garamond" w:hAnsi="Garamond"/>
                <w:lang w:val="pl-PL"/>
              </w:rPr>
              <w:t>sformułowaniu wniosków zarządczych dotyczących sytuacji opisywanej przez dane.</w:t>
            </w:r>
          </w:p>
        </w:tc>
      </w:tr>
      <w:tr w:rsidR="008B31D4" w:rsidRPr="00B80B6D" w14:paraId="2F257757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B2C716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C8C5854" w14:textId="5F4A8002" w:rsidR="008B31D4" w:rsidRPr="00766C29" w:rsidRDefault="00E825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brak</w:t>
            </w:r>
          </w:p>
        </w:tc>
      </w:tr>
    </w:tbl>
    <w:p w14:paraId="4B6022F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229455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4556F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7278AEE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CAFAFF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1AFF81E9" w14:textId="0ACB94AD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E8257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FD3EB7" w14:paraId="1F602C2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09AAA6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4E4622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95F5FE" w14:textId="48586E6C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C6F29">
              <w:rPr>
                <w:rFonts w:ascii="Garamond" w:hAnsi="Garamond"/>
                <w:lang w:val="pl-PL"/>
              </w:rPr>
              <w:t xml:space="preserve"> </w:t>
            </w:r>
            <w:r w:rsidR="00663C17">
              <w:rPr>
                <w:rFonts w:ascii="Garamond" w:hAnsi="Garamond"/>
                <w:lang w:val="pl-PL"/>
              </w:rPr>
              <w:t>Student będzie rozumiał znaczenie statystyki jako nauki.</w:t>
            </w:r>
          </w:p>
          <w:p w14:paraId="7C0ACEDC" w14:textId="335C5BA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63C17">
              <w:rPr>
                <w:rFonts w:ascii="Garamond" w:hAnsi="Garamond"/>
                <w:lang w:val="pl-PL"/>
              </w:rPr>
              <w:t xml:space="preserve"> Student będzie znał rodzaje skal pomiarowych.</w:t>
            </w:r>
          </w:p>
          <w:p w14:paraId="45AED9F6" w14:textId="0DACF47F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63C17">
              <w:rPr>
                <w:rFonts w:ascii="Garamond" w:hAnsi="Garamond"/>
                <w:lang w:val="pl-PL"/>
              </w:rPr>
              <w:t xml:space="preserve"> Student będzie umiał rozróżnić sposoby grupowania danych.</w:t>
            </w:r>
          </w:p>
          <w:p w14:paraId="139A3E99" w14:textId="7BB71BB1" w:rsidR="005702AD" w:rsidRPr="00766C29" w:rsidRDefault="00663C1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wiedział, jakie są zasady graficznej prezentacji danych.</w:t>
            </w:r>
          </w:p>
        </w:tc>
      </w:tr>
      <w:tr w:rsidR="00E3674C" w:rsidRPr="00663C17" w14:paraId="2A15433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AB35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0E6B38" w14:textId="088B4780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3C17">
              <w:rPr>
                <w:rFonts w:ascii="Garamond" w:hAnsi="Garamond"/>
                <w:lang w:val="pl-PL"/>
              </w:rPr>
              <w:t xml:space="preserve"> Statystyka jako nauka. Źródła danych statystycznych.</w:t>
            </w:r>
          </w:p>
          <w:p w14:paraId="573404AE" w14:textId="1FD7E02D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63C17">
              <w:rPr>
                <w:rFonts w:ascii="Garamond" w:hAnsi="Garamond"/>
                <w:lang w:val="pl-PL"/>
              </w:rPr>
              <w:t xml:space="preserve"> Skale pomiarowe.</w:t>
            </w:r>
          </w:p>
          <w:p w14:paraId="01A4700A" w14:textId="3042A181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63C17">
              <w:rPr>
                <w:rFonts w:ascii="Garamond" w:hAnsi="Garamond"/>
                <w:lang w:val="pl-PL"/>
              </w:rPr>
              <w:t xml:space="preserve"> Rodzaje danych i zasady ich grupowania.</w:t>
            </w:r>
          </w:p>
          <w:p w14:paraId="1C6AE788" w14:textId="2B1E752B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663C17">
              <w:rPr>
                <w:rFonts w:ascii="Garamond" w:hAnsi="Garamond"/>
                <w:lang w:val="pl-PL"/>
              </w:rPr>
              <w:t xml:space="preserve"> Wskaźniki struktury, skumulowane wskaźniki struktury.</w:t>
            </w:r>
          </w:p>
          <w:p w14:paraId="778AFCE8" w14:textId="4DAEF3AB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663C17">
              <w:rPr>
                <w:rFonts w:ascii="Garamond" w:hAnsi="Garamond"/>
                <w:lang w:val="pl-PL"/>
              </w:rPr>
              <w:t xml:space="preserve"> Graficzna prezentacja danych.</w:t>
            </w:r>
          </w:p>
        </w:tc>
      </w:tr>
      <w:tr w:rsidR="00E3674C" w:rsidRPr="00FD3EB7" w14:paraId="39B1FCE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C0ADC3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D6D353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A760DEB" w14:textId="07DC3852" w:rsidR="00512EC5" w:rsidRPr="00766C29" w:rsidRDefault="00512EC5" w:rsidP="00E82577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 w:rsidR="00E82577">
              <w:rPr>
                <w:rFonts w:ascii="Garamond" w:hAnsi="Garamond"/>
                <w:lang w:val="pl-PL"/>
              </w:rPr>
              <w:t>A.</w:t>
            </w:r>
            <w:r w:rsidR="00E82577"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="00E82577"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 w:rsidR="00663C17">
              <w:rPr>
                <w:rFonts w:ascii="Garamond" w:hAnsi="Garamond"/>
                <w:lang w:val="pl-PL"/>
              </w:rPr>
              <w:t>, roz. 1-3.</w:t>
            </w:r>
          </w:p>
          <w:p w14:paraId="6E00A006" w14:textId="6BA2F929" w:rsidR="00512EC5" w:rsidRPr="00E82577" w:rsidRDefault="00512EC5" w:rsidP="00E82577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 w:rsidR="00E82577">
              <w:rPr>
                <w:rFonts w:ascii="Garamond" w:hAnsi="Garamond"/>
                <w:lang w:val="pl-PL"/>
              </w:rPr>
              <w:t>I.</w:t>
            </w:r>
            <w:r w:rsidR="00E82577"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="00E82577"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 w:rsidR="00663C17">
              <w:rPr>
                <w:rFonts w:ascii="Garamond" w:hAnsi="Garamond"/>
                <w:lang w:val="pl-PL"/>
              </w:rPr>
              <w:t>, roz. 1.</w:t>
            </w:r>
          </w:p>
          <w:p w14:paraId="2907F41A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12C4EE8" w14:textId="709DC958" w:rsidR="00512EC5" w:rsidRPr="00E82577" w:rsidRDefault="00512EC5" w:rsidP="00E82577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J</w:t>
            </w:r>
            <w:r w:rsidR="00E82577"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 w:rsidR="00663C17">
              <w:rPr>
                <w:rFonts w:ascii="Garamond" w:hAnsi="Garamond"/>
                <w:lang w:val="pl-PL"/>
              </w:rPr>
              <w:t>, roz. 1.</w:t>
            </w:r>
          </w:p>
          <w:p w14:paraId="0CA1E3EF" w14:textId="08C7FE87" w:rsidR="00AB7710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2577">
              <w:rPr>
                <w:rFonts w:ascii="Garamond" w:hAnsi="Garamond"/>
                <w:lang w:val="pl-PL"/>
              </w:rPr>
              <w:t xml:space="preserve"> M. </w:t>
            </w:r>
            <w:r w:rsidR="00E82577"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 w:rsidR="00663C17">
              <w:rPr>
                <w:rFonts w:ascii="Garamond" w:hAnsi="Garamond"/>
                <w:lang w:val="pl-PL"/>
              </w:rPr>
              <w:t>, roz. 8, 10.</w:t>
            </w:r>
          </w:p>
        </w:tc>
      </w:tr>
    </w:tbl>
    <w:p w14:paraId="2A15DE0E" w14:textId="3364A5CD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398137" w14:textId="341EE95B" w:rsidR="00663C17" w:rsidRDefault="00663C1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0EB21C0" w14:textId="77777777" w:rsidR="00663C17" w:rsidRPr="00663C17" w:rsidRDefault="00663C17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3216BD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F4781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4B08669" w14:textId="4D6FB69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663C1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3A0C5F4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33277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97EE7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4818548" w14:textId="4BBFC7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3C17">
              <w:rPr>
                <w:rFonts w:ascii="Garamond" w:hAnsi="Garamond"/>
                <w:lang w:val="pl-PL"/>
              </w:rPr>
              <w:t xml:space="preserve"> Student będzie znał podstawowe miary poziomu wartości cechy.</w:t>
            </w:r>
          </w:p>
          <w:p w14:paraId="27E313F1" w14:textId="4DA1A55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63C17">
              <w:rPr>
                <w:rFonts w:ascii="Garamond" w:hAnsi="Garamond"/>
                <w:lang w:val="pl-PL"/>
              </w:rPr>
              <w:t xml:space="preserve"> Student będzie</w:t>
            </w:r>
            <w:r w:rsidR="00AD019B">
              <w:rPr>
                <w:rFonts w:ascii="Garamond" w:hAnsi="Garamond"/>
                <w:lang w:val="pl-PL"/>
              </w:rPr>
              <w:t xml:space="preserve"> rozumiał zasady stosowania tych miar.</w:t>
            </w:r>
          </w:p>
          <w:p w14:paraId="214DA053" w14:textId="70DDF17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019B">
              <w:rPr>
                <w:rFonts w:ascii="Garamond" w:hAnsi="Garamond"/>
                <w:lang w:val="pl-PL"/>
              </w:rPr>
              <w:t xml:space="preserve"> Student będzie umiał zinterpretować wartości miar poziomu.</w:t>
            </w:r>
          </w:p>
        </w:tc>
      </w:tr>
      <w:tr w:rsidR="00FA3958" w:rsidRPr="00FD3EB7" w14:paraId="68B1601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AFF97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50124F1" w14:textId="7C3246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Podział miar statystyki opisowej.</w:t>
            </w:r>
          </w:p>
          <w:p w14:paraId="17F2F091" w14:textId="0F87B57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9B">
              <w:rPr>
                <w:rFonts w:ascii="Garamond" w:hAnsi="Garamond"/>
                <w:lang w:val="pl-PL"/>
              </w:rPr>
              <w:t xml:space="preserve"> Klasyczne miary poziomu wartości cechy.</w:t>
            </w:r>
          </w:p>
          <w:p w14:paraId="30E8A93D" w14:textId="125C270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019B">
              <w:rPr>
                <w:rFonts w:ascii="Garamond" w:hAnsi="Garamond"/>
                <w:lang w:val="pl-PL"/>
              </w:rPr>
              <w:t xml:space="preserve"> Pozycyjne miary poziomu wartości cechy.</w:t>
            </w:r>
          </w:p>
        </w:tc>
      </w:tr>
      <w:tr w:rsidR="00FA3958" w:rsidRPr="00FD3EB7" w14:paraId="2031057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BFADB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6C565A3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DD9094A" w14:textId="4734F6CA" w:rsidR="00AD019B" w:rsidRPr="00766C29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4.</w:t>
            </w:r>
          </w:p>
          <w:p w14:paraId="2A462504" w14:textId="6B92B0A1" w:rsidR="00AD019B" w:rsidRPr="00E82577" w:rsidRDefault="00AD019B" w:rsidP="00AD019B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2.</w:t>
            </w:r>
          </w:p>
          <w:p w14:paraId="6006C8B8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F4F1282" w14:textId="08ABF43A" w:rsidR="00AD019B" w:rsidRPr="00E82577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3.</w:t>
            </w:r>
          </w:p>
          <w:p w14:paraId="36C78B1F" w14:textId="07480142" w:rsidR="00FA3958" w:rsidRPr="00766C29" w:rsidRDefault="00AD019B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9.</w:t>
            </w:r>
          </w:p>
        </w:tc>
      </w:tr>
    </w:tbl>
    <w:p w14:paraId="13AAB072" w14:textId="77777777" w:rsidR="00FA3958" w:rsidRPr="00AD01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63FCA93" w14:textId="77777777" w:rsidR="00FA3958" w:rsidRPr="00AD01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84B35F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D019B">
        <w:rPr>
          <w:rFonts w:ascii="Garamond" w:hAnsi="Garamond"/>
          <w:lang w:val="pl-PL"/>
        </w:rPr>
        <w:br w:type="page"/>
      </w:r>
    </w:p>
    <w:p w14:paraId="6862AA1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F5F3E0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C23E7E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88487EB" w14:textId="3D73648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D019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D3EB7" w14:paraId="39DAFA5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DA7B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FB1DD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9317E2" w14:textId="1BC8E6E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Student będzie znał miary zróżnicowania wartości cechy.</w:t>
            </w:r>
          </w:p>
          <w:p w14:paraId="57081CAE" w14:textId="1553BFF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9B">
              <w:rPr>
                <w:rFonts w:ascii="Garamond" w:hAnsi="Garamond"/>
                <w:lang w:val="pl-PL"/>
              </w:rPr>
              <w:t xml:space="preserve"> Student będzie rozumiał zasady stosowania tych miar, ich zalety i wady.</w:t>
            </w:r>
          </w:p>
          <w:p w14:paraId="6D859CBD" w14:textId="0CDBC0A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019B">
              <w:rPr>
                <w:rFonts w:ascii="Garamond" w:hAnsi="Garamond"/>
                <w:lang w:val="pl-PL"/>
              </w:rPr>
              <w:t xml:space="preserve"> Student będzie umiał zinterpretować wartości miar zróżnicowania wartości cechy.</w:t>
            </w:r>
          </w:p>
        </w:tc>
      </w:tr>
      <w:tr w:rsidR="00FA3958" w:rsidRPr="00FD3EB7" w14:paraId="7934C0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C3BD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54DFD4" w14:textId="3B9D784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Klasyczne miary zróżnicowania wartości cechy.</w:t>
            </w:r>
          </w:p>
          <w:p w14:paraId="6478612C" w14:textId="1CDB8A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019B">
              <w:rPr>
                <w:rFonts w:ascii="Garamond" w:hAnsi="Garamond"/>
                <w:lang w:val="pl-PL"/>
              </w:rPr>
              <w:t xml:space="preserve"> Pozycyjne miary zróżnicowania wartości cechy.</w:t>
            </w:r>
          </w:p>
        </w:tc>
      </w:tr>
      <w:tr w:rsidR="00FA3958" w:rsidRPr="00FD3EB7" w14:paraId="02F3A11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C4480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937140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56C619E" w14:textId="77777777" w:rsidR="00AD019B" w:rsidRPr="00766C29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4.</w:t>
            </w:r>
          </w:p>
          <w:p w14:paraId="39E9BB2C" w14:textId="77777777" w:rsidR="00AD019B" w:rsidRPr="00E82577" w:rsidRDefault="00AD019B" w:rsidP="00AD019B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2.</w:t>
            </w:r>
          </w:p>
          <w:p w14:paraId="56BE597B" w14:textId="77777777" w:rsidR="00AD019B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7B9CFF" w14:textId="77777777" w:rsidR="00AD019B" w:rsidRPr="00E82577" w:rsidRDefault="00AD019B" w:rsidP="00AD019B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3.</w:t>
            </w:r>
          </w:p>
          <w:p w14:paraId="7D5A0EB8" w14:textId="2442D042" w:rsidR="00FA3958" w:rsidRPr="00766C29" w:rsidRDefault="00AD019B" w:rsidP="00AD01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9.</w:t>
            </w:r>
          </w:p>
        </w:tc>
      </w:tr>
    </w:tbl>
    <w:p w14:paraId="3692343C" w14:textId="1C05B825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27617D2" w14:textId="277C857E" w:rsidR="00AD019B" w:rsidRDefault="00AD019B" w:rsidP="00FA3958">
      <w:pPr>
        <w:spacing w:after="0" w:line="240" w:lineRule="auto"/>
        <w:rPr>
          <w:rFonts w:ascii="Garamond" w:hAnsi="Garamond"/>
          <w:lang w:val="pl-PL"/>
        </w:rPr>
      </w:pPr>
    </w:p>
    <w:p w14:paraId="6F1A0112" w14:textId="77777777" w:rsidR="00AD019B" w:rsidRPr="00766C29" w:rsidRDefault="00AD019B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1EAC0E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4912BF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5F664D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8872B34" w14:textId="3BF46E8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D019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D3EB7" w14:paraId="7486971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50F79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37AA5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B8F55FA" w14:textId="53799C7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019B">
              <w:rPr>
                <w:rFonts w:ascii="Garamond" w:hAnsi="Garamond"/>
                <w:lang w:val="pl-PL"/>
              </w:rPr>
              <w:t xml:space="preserve"> Student będzie rozumiał ideę badania asymetrii rozkładu wartości cechy</w:t>
            </w:r>
            <w:r w:rsidR="00BC77F2">
              <w:rPr>
                <w:rFonts w:ascii="Garamond" w:hAnsi="Garamond"/>
                <w:lang w:val="pl-PL"/>
              </w:rPr>
              <w:t>.</w:t>
            </w:r>
          </w:p>
          <w:p w14:paraId="04E22766" w14:textId="53849F0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77F2">
              <w:rPr>
                <w:rFonts w:ascii="Garamond" w:hAnsi="Garamond"/>
                <w:lang w:val="pl-PL"/>
              </w:rPr>
              <w:t xml:space="preserve"> Student będzie znał miary asymetrii rozkładu cechy.</w:t>
            </w:r>
          </w:p>
          <w:p w14:paraId="730E23C8" w14:textId="040156C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C77F2">
              <w:rPr>
                <w:rFonts w:ascii="Garamond" w:hAnsi="Garamond"/>
                <w:lang w:val="pl-PL"/>
              </w:rPr>
              <w:t xml:space="preserve"> Student dowie się o badaniu kurtozy rozkładu wartości cechy.</w:t>
            </w:r>
          </w:p>
          <w:p w14:paraId="007FA48C" w14:textId="62F1ED8E" w:rsidR="00FA3958" w:rsidRPr="00766C29" w:rsidRDefault="00BC77F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wiedział o znaczeniu badań nierównomierności rozkładu wartości cechy.</w:t>
            </w:r>
          </w:p>
          <w:p w14:paraId="3BD8501F" w14:textId="51689EC9" w:rsidR="00FA3958" w:rsidRPr="00766C29" w:rsidRDefault="00BC77F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Student będzie rozumiał id</w:t>
            </w:r>
            <w:r w:rsidR="00963BEC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>ę krzywej Lorenza i sposób wyznaczania wartości współczynnika Giniego.</w:t>
            </w:r>
          </w:p>
        </w:tc>
      </w:tr>
      <w:tr w:rsidR="00FA3958" w:rsidRPr="00FD3EB7" w14:paraId="26CE99B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6047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AAD28F5" w14:textId="53D2C0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C77F2">
              <w:rPr>
                <w:rFonts w:ascii="Garamond" w:hAnsi="Garamond"/>
                <w:lang w:val="pl-PL"/>
              </w:rPr>
              <w:t xml:space="preserve"> Klasyczne miary asymetrii.</w:t>
            </w:r>
          </w:p>
          <w:p w14:paraId="3008E5D1" w14:textId="53EB1B3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77F2">
              <w:rPr>
                <w:rFonts w:ascii="Garamond" w:hAnsi="Garamond"/>
                <w:lang w:val="pl-PL"/>
              </w:rPr>
              <w:t xml:space="preserve"> Pozycyjne miary asymetrii.</w:t>
            </w:r>
          </w:p>
          <w:p w14:paraId="60656036" w14:textId="3D197A6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C77F2">
              <w:rPr>
                <w:rFonts w:ascii="Garamond" w:hAnsi="Garamond"/>
                <w:lang w:val="pl-PL"/>
              </w:rPr>
              <w:t xml:space="preserve"> Miary kurtozy.</w:t>
            </w:r>
          </w:p>
          <w:p w14:paraId="2C28D6ED" w14:textId="7A4A8A8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C77F2">
              <w:rPr>
                <w:rFonts w:ascii="Garamond" w:hAnsi="Garamond"/>
                <w:lang w:val="pl-PL"/>
              </w:rPr>
              <w:t xml:space="preserve"> Krzywa Lorenza.</w:t>
            </w:r>
          </w:p>
          <w:p w14:paraId="25E394C2" w14:textId="2DAE098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C77F2">
              <w:rPr>
                <w:rFonts w:ascii="Garamond" w:hAnsi="Garamond"/>
                <w:lang w:val="pl-PL"/>
              </w:rPr>
              <w:t xml:space="preserve"> Współczynnik Giniego.</w:t>
            </w:r>
          </w:p>
        </w:tc>
      </w:tr>
      <w:tr w:rsidR="00FA3958" w:rsidRPr="00FD3EB7" w14:paraId="7D0F72F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EACC2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B08BB7" w14:textId="77777777" w:rsidR="00BC77F2" w:rsidRPr="00766C29" w:rsidRDefault="00BC77F2" w:rsidP="00BC77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7EC8EC5" w14:textId="77777777" w:rsidR="00BC77F2" w:rsidRPr="00766C29" w:rsidRDefault="00BC77F2" w:rsidP="00BC77F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4.</w:t>
            </w:r>
          </w:p>
          <w:p w14:paraId="492E0A9C" w14:textId="77777777" w:rsidR="00BC77F2" w:rsidRPr="00E82577" w:rsidRDefault="00BC77F2" w:rsidP="00BC77F2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2.</w:t>
            </w:r>
          </w:p>
          <w:p w14:paraId="0659E402" w14:textId="77777777" w:rsidR="00BC77F2" w:rsidRPr="00766C29" w:rsidRDefault="00BC77F2" w:rsidP="00BC77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18CD254" w14:textId="77777777" w:rsidR="00BC77F2" w:rsidRPr="00E82577" w:rsidRDefault="00BC77F2" w:rsidP="00BC77F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3.</w:t>
            </w:r>
          </w:p>
          <w:p w14:paraId="022C6AF2" w14:textId="4C8AD644" w:rsidR="00FA3958" w:rsidRPr="00766C29" w:rsidRDefault="00BC77F2" w:rsidP="00BC77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9</w:t>
            </w:r>
            <w:r w:rsidR="00185EEE">
              <w:rPr>
                <w:rFonts w:ascii="Garamond" w:hAnsi="Garamond"/>
                <w:lang w:val="pl-PL"/>
              </w:rPr>
              <w:t>, 11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54B98E20" w14:textId="77777777" w:rsidR="00FA3958" w:rsidRPr="00BC77F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D8E34DE" w14:textId="77777777" w:rsidR="00FA3958" w:rsidRPr="00BC77F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38F214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C77F2">
        <w:rPr>
          <w:rFonts w:ascii="Garamond" w:hAnsi="Garamond"/>
          <w:lang w:val="pl-PL"/>
        </w:rPr>
        <w:br w:type="page"/>
      </w:r>
    </w:p>
    <w:p w14:paraId="24FCB21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30806D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D488AD3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3028729" w14:textId="55EE107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BC77F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11CF490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FA280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8DDDBC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2442B5F" w14:textId="1115C45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C77F2">
              <w:rPr>
                <w:rFonts w:ascii="Garamond" w:hAnsi="Garamond"/>
                <w:lang w:val="pl-PL"/>
              </w:rPr>
              <w:t xml:space="preserve"> Student będzie rozumiał potrzebę badania współzależności dwóch cech.</w:t>
            </w:r>
          </w:p>
          <w:p w14:paraId="0C408E18" w14:textId="62D4FB9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77F2">
              <w:rPr>
                <w:rFonts w:ascii="Garamond" w:hAnsi="Garamond"/>
                <w:lang w:val="pl-PL"/>
              </w:rPr>
              <w:t xml:space="preserve"> Student będzie umiał grupować dane w postaci tablicy korelacyjnej.</w:t>
            </w:r>
          </w:p>
          <w:p w14:paraId="158B086F" w14:textId="35508C5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C77F2">
              <w:rPr>
                <w:rFonts w:ascii="Garamond" w:hAnsi="Garamond"/>
                <w:lang w:val="pl-PL"/>
              </w:rPr>
              <w:t xml:space="preserve"> Student pozna podstawowe miary współzależności cech i zasady ich stosowania.</w:t>
            </w:r>
          </w:p>
        </w:tc>
      </w:tr>
      <w:tr w:rsidR="00FA3958" w:rsidRPr="00FD3EB7" w14:paraId="2B3DEE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306FC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3E427C" w14:textId="77478C0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E4F0F">
              <w:rPr>
                <w:rFonts w:ascii="Garamond" w:hAnsi="Garamond"/>
                <w:lang w:val="pl-PL"/>
              </w:rPr>
              <w:t xml:space="preserve"> </w:t>
            </w:r>
            <w:r w:rsidR="00185EEE">
              <w:rPr>
                <w:rFonts w:ascii="Garamond" w:hAnsi="Garamond"/>
                <w:lang w:val="pl-PL"/>
              </w:rPr>
              <w:t>Tablica korelacyjna – budowa, wnioskowanie na podstawie rozkładów warunkowych i brzegowych.</w:t>
            </w:r>
          </w:p>
          <w:p w14:paraId="50896EF4" w14:textId="48E02BD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5EEE">
              <w:rPr>
                <w:rFonts w:ascii="Garamond" w:hAnsi="Garamond"/>
                <w:lang w:val="pl-PL"/>
              </w:rPr>
              <w:t xml:space="preserve"> Regresja empiryczna.</w:t>
            </w:r>
          </w:p>
          <w:p w14:paraId="437273A9" w14:textId="0B8EB9C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85EEE">
              <w:rPr>
                <w:rFonts w:ascii="Garamond" w:hAnsi="Garamond"/>
                <w:lang w:val="pl-PL"/>
              </w:rPr>
              <w:t xml:space="preserve"> Równość wariancyjna.</w:t>
            </w:r>
          </w:p>
          <w:p w14:paraId="187A69EA" w14:textId="2EA5452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85EEE">
              <w:rPr>
                <w:rFonts w:ascii="Garamond" w:hAnsi="Garamond"/>
                <w:lang w:val="pl-PL"/>
              </w:rPr>
              <w:t xml:space="preserve"> Miary współzależności cech.</w:t>
            </w:r>
          </w:p>
        </w:tc>
      </w:tr>
      <w:tr w:rsidR="00FA3958" w:rsidRPr="00FD3EB7" w14:paraId="285382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F682E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599D4B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F3F05C" w14:textId="7DCE51E4" w:rsidR="00185EEE" w:rsidRPr="00766C29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6.</w:t>
            </w:r>
          </w:p>
          <w:p w14:paraId="0E58B00C" w14:textId="04C48C6B" w:rsidR="00185EEE" w:rsidRPr="00E82577" w:rsidRDefault="00185EEE" w:rsidP="00185EEE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3.</w:t>
            </w:r>
          </w:p>
          <w:p w14:paraId="7B667FCB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6417ADF" w14:textId="25733840" w:rsidR="00185EEE" w:rsidRPr="00E82577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11.</w:t>
            </w:r>
          </w:p>
          <w:p w14:paraId="78A68BF1" w14:textId="210D8D65" w:rsidR="00FA3958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12.</w:t>
            </w:r>
          </w:p>
        </w:tc>
      </w:tr>
    </w:tbl>
    <w:p w14:paraId="26D4965A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498B2E4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113B783" w14:textId="1FF61C5B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C73D8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DAFFAD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46BF3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C2334DE" w14:textId="49C50EB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185EE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274A1D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3714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311992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52DFB5C" w14:textId="02BB23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5EEE">
              <w:rPr>
                <w:rFonts w:ascii="Garamond" w:hAnsi="Garamond"/>
                <w:lang w:val="pl-PL"/>
              </w:rPr>
              <w:t xml:space="preserve"> Student będzie rozumiał ideę wyznaczania regresji względem średniej.</w:t>
            </w:r>
          </w:p>
          <w:p w14:paraId="1010D21D" w14:textId="51E1F6A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5EEE">
              <w:rPr>
                <w:rFonts w:ascii="Garamond" w:hAnsi="Garamond"/>
                <w:lang w:val="pl-PL"/>
              </w:rPr>
              <w:t xml:space="preserve"> Student będzie znał zasadę wyznaczania wartości parametrów równania regresji metodą najmniejszych kwadratów.</w:t>
            </w:r>
          </w:p>
          <w:p w14:paraId="70596645" w14:textId="0C1EC82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85EEE">
              <w:rPr>
                <w:rFonts w:ascii="Garamond" w:hAnsi="Garamond"/>
                <w:lang w:val="pl-PL"/>
              </w:rPr>
              <w:t xml:space="preserve"> Student będzie umiał interpretować parametry.</w:t>
            </w:r>
          </w:p>
          <w:p w14:paraId="35660E94" w14:textId="67CF4D69" w:rsidR="00FA3958" w:rsidRPr="00766C29" w:rsidRDefault="00185E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wyznaczyć wartości miar charakteryzujących jakość dopasowania modelu regresji do danych.</w:t>
            </w:r>
          </w:p>
        </w:tc>
      </w:tr>
      <w:tr w:rsidR="00FA3958" w:rsidRPr="00FD3EB7" w14:paraId="2428451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5BB5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63FD0AF" w14:textId="0017002E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5EEE">
              <w:rPr>
                <w:rFonts w:ascii="Garamond" w:hAnsi="Garamond"/>
                <w:lang w:val="pl-PL"/>
              </w:rPr>
              <w:t xml:space="preserve"> Liniowa funkcja regresji dla danych przekrojowych.</w:t>
            </w:r>
          </w:p>
          <w:p w14:paraId="0D6E9066" w14:textId="78231079" w:rsidR="00185EEE" w:rsidRPr="00766C29" w:rsidRDefault="00185E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Szacowanie parametrów MNK, wartości teoretyczne, reszty.</w:t>
            </w:r>
          </w:p>
          <w:p w14:paraId="07FEFFE0" w14:textId="63B2AB34" w:rsidR="00FA3958" w:rsidRPr="00766C29" w:rsidRDefault="00185E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Błędy szacunku parametrów.</w:t>
            </w:r>
          </w:p>
          <w:p w14:paraId="4797C333" w14:textId="611B017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85EEE">
              <w:rPr>
                <w:rFonts w:ascii="Garamond" w:hAnsi="Garamond"/>
                <w:lang w:val="pl-PL"/>
              </w:rPr>
              <w:t xml:space="preserve"> Współczynnik determinacji.</w:t>
            </w:r>
          </w:p>
        </w:tc>
      </w:tr>
      <w:tr w:rsidR="00FA3958" w:rsidRPr="00FD3EB7" w14:paraId="744C3A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F004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413CB08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60D077" w14:textId="72179CCE" w:rsidR="00185EEE" w:rsidRPr="00766C29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6.</w:t>
            </w:r>
          </w:p>
          <w:p w14:paraId="2B2A47EA" w14:textId="03718D97" w:rsidR="00185EEE" w:rsidRPr="00E82577" w:rsidRDefault="00185EEE" w:rsidP="00185EEE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 xml:space="preserve">, roz. </w:t>
            </w:r>
            <w:r w:rsidR="00180BF4"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101597F4" w14:textId="77777777" w:rsidR="00185EEE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732B1B" w14:textId="2CBBA74F" w:rsidR="00185EEE" w:rsidRPr="00E82577" w:rsidRDefault="00185EEE" w:rsidP="00185EEE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 xml:space="preserve">, roz. </w:t>
            </w:r>
            <w:r w:rsidR="00180BF4">
              <w:rPr>
                <w:rFonts w:ascii="Garamond" w:hAnsi="Garamond"/>
                <w:lang w:val="pl-PL"/>
              </w:rPr>
              <w:t>11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0AA8442D" w14:textId="4F2FF380" w:rsidR="00FA3958" w:rsidRPr="00766C29" w:rsidRDefault="00185EEE" w:rsidP="00185E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 xml:space="preserve">, roz. </w:t>
            </w:r>
            <w:r w:rsidR="00180BF4">
              <w:rPr>
                <w:rFonts w:ascii="Garamond" w:hAnsi="Garamond"/>
                <w:lang w:val="pl-PL"/>
              </w:rPr>
              <w:t>12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2B6D3DA2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8E23084" w14:textId="77777777" w:rsidR="00FA3958" w:rsidRPr="00185E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86C086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85EEE">
        <w:rPr>
          <w:rFonts w:ascii="Garamond" w:hAnsi="Garamond"/>
          <w:lang w:val="pl-PL"/>
        </w:rPr>
        <w:br w:type="page"/>
      </w:r>
    </w:p>
    <w:p w14:paraId="238C1A9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60E594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0E4AFE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03E0337" w14:textId="2D80603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180BF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73A0219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4D6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630A18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2B0AC73" w14:textId="605DD19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BF4">
              <w:rPr>
                <w:rFonts w:ascii="Garamond" w:hAnsi="Garamond"/>
                <w:lang w:val="pl-PL"/>
              </w:rPr>
              <w:t xml:space="preserve"> Student pozna sposób grupowania danych dynamicznych.</w:t>
            </w:r>
          </w:p>
          <w:p w14:paraId="7ED4A8C4" w14:textId="67BE0D2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0BF4">
              <w:rPr>
                <w:rFonts w:ascii="Garamond" w:hAnsi="Garamond"/>
                <w:lang w:val="pl-PL"/>
              </w:rPr>
              <w:t xml:space="preserve"> Student będzie rozumiał trudności interpretacyjne związane z danymi w postaci szeregów czasowych.</w:t>
            </w:r>
          </w:p>
          <w:p w14:paraId="3F5B641C" w14:textId="1B2AE45B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80BF4">
              <w:rPr>
                <w:rFonts w:ascii="Garamond" w:hAnsi="Garamond"/>
                <w:lang w:val="pl-PL"/>
              </w:rPr>
              <w:t xml:space="preserve"> Student będzie umiał zmierzyć dynamikę procesu notowaną w danych.</w:t>
            </w:r>
          </w:p>
          <w:p w14:paraId="4A713236" w14:textId="1A9B7412" w:rsidR="00FA3958" w:rsidRPr="00766C29" w:rsidRDefault="00180BF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wiedział o konieczności konstruowania indeksów agregatowych.</w:t>
            </w:r>
          </w:p>
        </w:tc>
      </w:tr>
      <w:tr w:rsidR="00FA3958" w:rsidRPr="00FD3EB7" w14:paraId="41555C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35DE9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A867C5" w14:textId="3652D87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BF4">
              <w:rPr>
                <w:rFonts w:ascii="Garamond" w:hAnsi="Garamond"/>
                <w:lang w:val="pl-PL"/>
              </w:rPr>
              <w:t xml:space="preserve"> Podstawowe miary dynamik zjawisk, przyrosty, indeksy proste.</w:t>
            </w:r>
          </w:p>
          <w:p w14:paraId="59A1DD83" w14:textId="090F96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0BF4">
              <w:rPr>
                <w:rFonts w:ascii="Garamond" w:hAnsi="Garamond"/>
                <w:lang w:val="pl-PL"/>
              </w:rPr>
              <w:t xml:space="preserve"> Średniookresowe tempo zmian.</w:t>
            </w:r>
          </w:p>
          <w:p w14:paraId="4110ECB3" w14:textId="7033FFA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80BF4">
              <w:rPr>
                <w:rFonts w:ascii="Garamond" w:hAnsi="Garamond"/>
                <w:lang w:val="pl-PL"/>
              </w:rPr>
              <w:t xml:space="preserve"> Indeksy agregatowe wartości, ilości i cen.</w:t>
            </w:r>
          </w:p>
        </w:tc>
      </w:tr>
      <w:tr w:rsidR="00FA3958" w:rsidRPr="00FD3EB7" w14:paraId="3E3FE7A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CD738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48603" w14:textId="77777777" w:rsidR="00180BF4" w:rsidRPr="00766C29" w:rsidRDefault="00180BF4" w:rsidP="00180B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AF5E5CC" w14:textId="06DF4145" w:rsidR="00180BF4" w:rsidRPr="00766C29" w:rsidRDefault="00180BF4" w:rsidP="00180BF4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7.</w:t>
            </w:r>
          </w:p>
          <w:p w14:paraId="467DB29A" w14:textId="1603E882" w:rsidR="00180BF4" w:rsidRPr="00E82577" w:rsidRDefault="00180BF4" w:rsidP="00180BF4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4.</w:t>
            </w:r>
          </w:p>
          <w:p w14:paraId="5F39A293" w14:textId="77777777" w:rsidR="00180BF4" w:rsidRPr="00766C29" w:rsidRDefault="00180BF4" w:rsidP="00180B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11EB912" w14:textId="2EFB6EB0" w:rsidR="00180BF4" w:rsidRPr="00E82577" w:rsidRDefault="00180BF4" w:rsidP="00180BF4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13.</w:t>
            </w:r>
          </w:p>
          <w:p w14:paraId="3210815F" w14:textId="1B49A792" w:rsidR="00FA3958" w:rsidRPr="00766C29" w:rsidRDefault="00180BF4" w:rsidP="00180B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13.</w:t>
            </w:r>
          </w:p>
        </w:tc>
      </w:tr>
    </w:tbl>
    <w:p w14:paraId="2BAFF39D" w14:textId="68C7E146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1A3310" w14:textId="2325D796" w:rsidR="001C4C28" w:rsidRDefault="001C4C28" w:rsidP="00FA3958">
      <w:pPr>
        <w:spacing w:after="0" w:line="240" w:lineRule="auto"/>
        <w:rPr>
          <w:rFonts w:ascii="Garamond" w:hAnsi="Garamond"/>
          <w:lang w:val="pl-PL"/>
        </w:rPr>
      </w:pPr>
    </w:p>
    <w:p w14:paraId="7DCC691C" w14:textId="77777777" w:rsidR="001C4C28" w:rsidRPr="00766C29" w:rsidRDefault="001C4C2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ABA89C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2191E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5AE7D3F0" w14:textId="6A46FC5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1C4C2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2405E6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44B79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42FD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9024BCC" w14:textId="705BE82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C4C28">
              <w:rPr>
                <w:rFonts w:ascii="Garamond" w:hAnsi="Garamond"/>
                <w:lang w:val="pl-PL"/>
              </w:rPr>
              <w:t xml:space="preserve"> Student będzie rozumiał potrzebę dekompozycji szeregu czasowego na tendencję, wahania okresowe i wahania przypadkowe.</w:t>
            </w:r>
          </w:p>
          <w:p w14:paraId="664945C1" w14:textId="11BBC61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C4C28">
              <w:rPr>
                <w:rFonts w:ascii="Garamond" w:hAnsi="Garamond"/>
                <w:lang w:val="pl-PL"/>
              </w:rPr>
              <w:t xml:space="preserve"> Student pozna metodę mechaniczną i analityczną analizy składowych szeregu czasowego.</w:t>
            </w:r>
          </w:p>
        </w:tc>
      </w:tr>
      <w:tr w:rsidR="00FA3958" w:rsidRPr="00FD3EB7" w14:paraId="0F3406E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7864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2BE912A" w14:textId="0B4051B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E649D">
              <w:rPr>
                <w:rFonts w:ascii="Garamond" w:hAnsi="Garamond"/>
                <w:lang w:val="pl-PL"/>
              </w:rPr>
              <w:t xml:space="preserve"> Składowe szeregu czasowego.</w:t>
            </w:r>
          </w:p>
          <w:p w14:paraId="73D3C98D" w14:textId="6BC6F0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E649D">
              <w:rPr>
                <w:rFonts w:ascii="Garamond" w:hAnsi="Garamond"/>
                <w:lang w:val="pl-PL"/>
              </w:rPr>
              <w:t xml:space="preserve"> Metoda analityczna analizy składowych szeregu czasowego.</w:t>
            </w:r>
          </w:p>
          <w:p w14:paraId="1DCAFC0B" w14:textId="724F1F7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E649D">
              <w:rPr>
                <w:rFonts w:ascii="Garamond" w:hAnsi="Garamond"/>
                <w:lang w:val="pl-PL"/>
              </w:rPr>
              <w:t xml:space="preserve"> Metoda mechaniczna analizy składowych szeregu czadowego.</w:t>
            </w:r>
          </w:p>
        </w:tc>
      </w:tr>
      <w:tr w:rsidR="00FA3958" w:rsidRPr="00FD3EB7" w14:paraId="4B9674D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F92A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7694B5" w14:textId="77777777" w:rsidR="009E649D" w:rsidRPr="00766C29" w:rsidRDefault="009E649D" w:rsidP="009E64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033CF6D" w14:textId="720F351A" w:rsidR="009E649D" w:rsidRPr="00766C29" w:rsidRDefault="009E649D" w:rsidP="009E649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7.</w:t>
            </w:r>
          </w:p>
          <w:p w14:paraId="1EA9631D" w14:textId="433C185D" w:rsidR="009E649D" w:rsidRPr="00E82577" w:rsidRDefault="009E649D" w:rsidP="009E649D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4.</w:t>
            </w:r>
          </w:p>
          <w:p w14:paraId="634C1332" w14:textId="77777777" w:rsidR="009E649D" w:rsidRPr="00766C29" w:rsidRDefault="009E649D" w:rsidP="009E64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8893FD3" w14:textId="737F8FA2" w:rsidR="009E649D" w:rsidRPr="00E82577" w:rsidRDefault="009E649D" w:rsidP="009E649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13.</w:t>
            </w:r>
          </w:p>
          <w:p w14:paraId="2735875B" w14:textId="74913996" w:rsidR="00FA3958" w:rsidRPr="00766C29" w:rsidRDefault="009E649D" w:rsidP="009E64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13.</w:t>
            </w:r>
          </w:p>
        </w:tc>
      </w:tr>
    </w:tbl>
    <w:p w14:paraId="660E3513" w14:textId="77777777" w:rsidR="00FA3958" w:rsidRPr="009E649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A16FE3B" w14:textId="77777777" w:rsidR="00FA3958" w:rsidRPr="009E649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F23FF9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E649D">
        <w:rPr>
          <w:rFonts w:ascii="Garamond" w:hAnsi="Garamond"/>
          <w:lang w:val="pl-PL"/>
        </w:rPr>
        <w:br w:type="page"/>
      </w:r>
    </w:p>
    <w:p w14:paraId="53111BB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EF224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624AC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1FDB6659" w14:textId="4B47DB3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942A0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7EC3CAD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769B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33D369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E644D85" w14:textId="5CFB83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42A09">
              <w:rPr>
                <w:rFonts w:ascii="Garamond" w:hAnsi="Garamond"/>
                <w:lang w:val="pl-PL"/>
              </w:rPr>
              <w:t xml:space="preserve"> Student będzie rozumiał konieczność rozróżnienia tendencji liniowej i nieliniowej zmian szeregów czasowych w czasie.</w:t>
            </w:r>
          </w:p>
          <w:p w14:paraId="28FEBB2A" w14:textId="6E6A563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42A09">
              <w:rPr>
                <w:rFonts w:ascii="Garamond" w:hAnsi="Garamond"/>
                <w:lang w:val="pl-PL"/>
              </w:rPr>
              <w:t xml:space="preserve"> Student pozna podstawowe nieliniowe modele trendu.</w:t>
            </w:r>
          </w:p>
          <w:p w14:paraId="362D3129" w14:textId="0B6365B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42A09">
              <w:rPr>
                <w:rFonts w:ascii="Garamond" w:hAnsi="Garamond"/>
                <w:lang w:val="pl-PL"/>
              </w:rPr>
              <w:t xml:space="preserve"> Student będzie potrafił wyznaczyć prognozę krótkookresową wartości szeregu czasowego.</w:t>
            </w:r>
          </w:p>
        </w:tc>
      </w:tr>
      <w:tr w:rsidR="00FA3958" w:rsidRPr="00942A09" w14:paraId="5280EF2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493E8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CF058F1" w14:textId="03400B5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42A09">
              <w:rPr>
                <w:rFonts w:ascii="Garamond" w:hAnsi="Garamond"/>
                <w:lang w:val="pl-PL"/>
              </w:rPr>
              <w:t xml:space="preserve"> Wybrane nieliniowe funkcje trendu.</w:t>
            </w:r>
          </w:p>
          <w:p w14:paraId="5B911394" w14:textId="04E5030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42A09">
              <w:rPr>
                <w:rFonts w:ascii="Garamond" w:hAnsi="Garamond"/>
                <w:lang w:val="pl-PL"/>
              </w:rPr>
              <w:t xml:space="preserve"> Prognozowanie z funkcji trendu.</w:t>
            </w:r>
          </w:p>
          <w:p w14:paraId="18AB5968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42A09">
              <w:rPr>
                <w:rFonts w:ascii="Garamond" w:hAnsi="Garamond"/>
                <w:lang w:val="pl-PL"/>
              </w:rPr>
              <w:t xml:space="preserve"> Średni błąd predykcji ex ante.</w:t>
            </w:r>
          </w:p>
          <w:p w14:paraId="3887F2F8" w14:textId="238748B3" w:rsidR="00942A09" w:rsidRPr="00766C29" w:rsidRDefault="00942A0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Błędy predykcji ex post.</w:t>
            </w:r>
          </w:p>
        </w:tc>
      </w:tr>
      <w:tr w:rsidR="00FA3958" w:rsidRPr="00FD3EB7" w14:paraId="259A31F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62B96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FCB669" w14:textId="77777777" w:rsidR="00942A09" w:rsidRPr="00766C29" w:rsidRDefault="00942A09" w:rsidP="00942A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4EE9EE4" w14:textId="4A0645E6" w:rsidR="00942A09" w:rsidRPr="00766C29" w:rsidRDefault="00942A09" w:rsidP="00942A09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A.</w:t>
            </w:r>
            <w:r w:rsidRPr="00E82577">
              <w:rPr>
                <w:rFonts w:ascii="Garamond" w:hAnsi="Garamond"/>
                <w:lang w:val="pl-PL"/>
              </w:rPr>
              <w:t>Bielecka</w:t>
            </w:r>
            <w:proofErr w:type="gramEnd"/>
            <w:r w:rsidRPr="00E82577">
              <w:rPr>
                <w:rFonts w:ascii="Garamond" w:hAnsi="Garamond"/>
                <w:lang w:val="pl-PL"/>
              </w:rPr>
              <w:t>, Statystyka dla menedżerów, Wydawnictwo Nieoczywiste, Warszawa 2017, wydanie II zmienione</w:t>
            </w:r>
            <w:r>
              <w:rPr>
                <w:rFonts w:ascii="Garamond" w:hAnsi="Garamond"/>
                <w:lang w:val="pl-PL"/>
              </w:rPr>
              <w:t>, roz. 7.</w:t>
            </w:r>
          </w:p>
          <w:p w14:paraId="6152709F" w14:textId="3A3B64DE" w:rsidR="00942A09" w:rsidRPr="00E82577" w:rsidRDefault="00942A09" w:rsidP="00942A09">
            <w:pPr>
              <w:jc w:val="both"/>
              <w:rPr>
                <w:rFonts w:cstheme="minorHAnsi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>
              <w:rPr>
                <w:rFonts w:ascii="Garamond" w:hAnsi="Garamond"/>
                <w:lang w:val="pl-PL"/>
              </w:rPr>
              <w:t>I.</w:t>
            </w:r>
            <w:r w:rsidRPr="00E82577">
              <w:rPr>
                <w:rFonts w:ascii="Garamond" w:hAnsi="Garamond"/>
                <w:lang w:val="pl-PL"/>
              </w:rPr>
              <w:t>Bąk</w:t>
            </w:r>
            <w:proofErr w:type="gramEnd"/>
            <w:r w:rsidRPr="00E82577">
              <w:rPr>
                <w:rFonts w:ascii="Garamond" w:hAnsi="Garamond"/>
                <w:lang w:val="pl-PL"/>
              </w:rPr>
              <w:t xml:space="preserve"> i inni, Statystyka opisowa. Przykłady i zadania. CEDEWU, Warszawa 2017 wydanie II poprawione</w:t>
            </w:r>
            <w:r>
              <w:rPr>
                <w:rFonts w:ascii="Garamond" w:hAnsi="Garamond"/>
                <w:lang w:val="pl-PL"/>
              </w:rPr>
              <w:t>, roz. 4.</w:t>
            </w:r>
          </w:p>
          <w:p w14:paraId="32B7798D" w14:textId="77777777" w:rsidR="00942A09" w:rsidRPr="00766C29" w:rsidRDefault="00942A09" w:rsidP="00942A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3BEDE61" w14:textId="13996634" w:rsidR="00942A09" w:rsidRPr="00E82577" w:rsidRDefault="00942A09" w:rsidP="00942A09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</w:t>
            </w:r>
            <w:r w:rsidRPr="00E82577">
              <w:rPr>
                <w:rFonts w:ascii="Garamond" w:hAnsi="Garamond"/>
                <w:lang w:val="pl-PL"/>
              </w:rPr>
              <w:t>. Podgórski, Statystyka dla studiów licencjackich, PWE, Warszawa, 2010</w:t>
            </w:r>
            <w:r>
              <w:rPr>
                <w:rFonts w:ascii="Garamond" w:hAnsi="Garamond"/>
                <w:lang w:val="pl-PL"/>
              </w:rPr>
              <w:t>, roz. 13.</w:t>
            </w:r>
          </w:p>
          <w:p w14:paraId="48C76C7F" w14:textId="35C1BEDD" w:rsidR="00FA3958" w:rsidRPr="00942A09" w:rsidRDefault="00942A09" w:rsidP="00942A09">
            <w:pPr>
              <w:rPr>
                <w:rFonts w:ascii="Garamond" w:hAnsi="Garamond"/>
                <w:b/>
                <w:bCs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</w:t>
            </w:r>
            <w:r w:rsidRPr="00E82577">
              <w:rPr>
                <w:rFonts w:ascii="Garamond" w:hAnsi="Garamond"/>
                <w:lang w:val="pl-PL"/>
              </w:rPr>
              <w:t>Cieciura, J. Zacharski, Metody probabilistyczne w ujęciu praktycznym, Warszawa, Vizja Press&amp;it, 2007</w:t>
            </w:r>
            <w:r>
              <w:rPr>
                <w:rFonts w:ascii="Garamond" w:hAnsi="Garamond"/>
                <w:lang w:val="pl-PL"/>
              </w:rPr>
              <w:t>, roz. 13.</w:t>
            </w:r>
          </w:p>
        </w:tc>
      </w:tr>
    </w:tbl>
    <w:p w14:paraId="5740C79F" w14:textId="5A3692D3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AABA1E2" w14:textId="256E5742" w:rsidR="005B1EB5" w:rsidRDefault="005B1EB5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5165812" w14:textId="153D5CE5" w:rsidR="005B1EB5" w:rsidRDefault="005B1EB5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E217310" w14:textId="77777777" w:rsidR="005B1EB5" w:rsidRPr="00766C29" w:rsidRDefault="005B1EB5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F31034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7A1157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39C17EFA" w14:textId="217DD6E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5B1EB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FD3EB7" w14:paraId="58CD1F1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56A4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F3FA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EEC9062" w14:textId="4EE4F0F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B1EB5">
              <w:rPr>
                <w:rFonts w:ascii="Garamond" w:hAnsi="Garamond"/>
                <w:lang w:val="pl-PL"/>
              </w:rPr>
              <w:t xml:space="preserve"> </w:t>
            </w:r>
            <w:r w:rsidR="00A04524">
              <w:rPr>
                <w:rFonts w:ascii="Garamond" w:hAnsi="Garamond"/>
                <w:lang w:val="pl-PL"/>
              </w:rPr>
              <w:t>Student będzie rozumiał konieczność prowadzenia analiz regionalnych.</w:t>
            </w:r>
          </w:p>
          <w:p w14:paraId="546BE91A" w14:textId="45E64D5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04524">
              <w:rPr>
                <w:rFonts w:ascii="Garamond" w:hAnsi="Garamond"/>
                <w:lang w:val="pl-PL"/>
              </w:rPr>
              <w:t xml:space="preserve"> Student będzie wiedział</w:t>
            </w:r>
            <w:r w:rsidR="00FD3EB7">
              <w:rPr>
                <w:rFonts w:ascii="Garamond" w:hAnsi="Garamond"/>
                <w:lang w:val="pl-PL"/>
              </w:rPr>
              <w:t>,</w:t>
            </w:r>
            <w:r w:rsidR="00A04524">
              <w:rPr>
                <w:rFonts w:ascii="Garamond" w:hAnsi="Garamond"/>
                <w:lang w:val="pl-PL"/>
              </w:rPr>
              <w:t xml:space="preserve"> jaki</w:t>
            </w:r>
            <w:r w:rsidR="00FD3EB7">
              <w:rPr>
                <w:rFonts w:ascii="Garamond" w:hAnsi="Garamond"/>
                <w:lang w:val="pl-PL"/>
              </w:rPr>
              <w:t>e</w:t>
            </w:r>
            <w:r w:rsidR="00A04524">
              <w:rPr>
                <w:rFonts w:ascii="Garamond" w:hAnsi="Garamond"/>
                <w:lang w:val="pl-PL"/>
              </w:rPr>
              <w:t xml:space="preserve"> są podstawowe zasady przeprowadzania analiz regionalnych.</w:t>
            </w:r>
          </w:p>
          <w:p w14:paraId="73993D2F" w14:textId="4ABBB60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04524">
              <w:rPr>
                <w:rFonts w:ascii="Garamond" w:hAnsi="Garamond"/>
                <w:lang w:val="pl-PL"/>
              </w:rPr>
              <w:t xml:space="preserve"> Student będzie znał możliwości wnioskowania na podstawie statystycznych analiz regionalnych.</w:t>
            </w:r>
          </w:p>
        </w:tc>
      </w:tr>
      <w:tr w:rsidR="00FA3958" w:rsidRPr="00A04524" w14:paraId="4231844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2DDE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AACF491" w14:textId="6A6369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04524">
              <w:rPr>
                <w:rFonts w:ascii="Garamond" w:hAnsi="Garamond"/>
                <w:lang w:val="pl-PL"/>
              </w:rPr>
              <w:t xml:space="preserve"> Wielowymiarowa analiza statystyczna.</w:t>
            </w:r>
          </w:p>
          <w:p w14:paraId="282F0F9B" w14:textId="25F50B4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04524">
              <w:rPr>
                <w:rFonts w:ascii="Garamond" w:hAnsi="Garamond"/>
                <w:lang w:val="pl-PL"/>
              </w:rPr>
              <w:t xml:space="preserve"> Podstawy analizy taksonomicznej.</w:t>
            </w:r>
          </w:p>
          <w:p w14:paraId="7E1336FD" w14:textId="698859C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04524">
              <w:rPr>
                <w:rFonts w:ascii="Garamond" w:hAnsi="Garamond"/>
                <w:lang w:val="pl-PL"/>
              </w:rPr>
              <w:t xml:space="preserve"> Przykłady analiz regionalnych</w:t>
            </w:r>
          </w:p>
        </w:tc>
      </w:tr>
      <w:tr w:rsidR="00FA3958" w:rsidRPr="00A04524" w14:paraId="7C9B62E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ACF8C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D1BC3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C6AE9E3" w14:textId="3D0734D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04524">
              <w:rPr>
                <w:rFonts w:ascii="Garamond" w:hAnsi="Garamond"/>
                <w:lang w:val="pl-PL"/>
              </w:rPr>
              <w:t xml:space="preserve"> </w:t>
            </w:r>
            <w:proofErr w:type="gramStart"/>
            <w:r w:rsidR="00A04524">
              <w:rPr>
                <w:rFonts w:ascii="Garamond" w:hAnsi="Garamond"/>
                <w:lang w:val="pl-PL"/>
              </w:rPr>
              <w:t>T.Panek</w:t>
            </w:r>
            <w:proofErr w:type="gramEnd"/>
            <w:r w:rsidR="00A04524">
              <w:rPr>
                <w:rFonts w:ascii="Garamond" w:hAnsi="Garamond"/>
                <w:lang w:val="pl-PL"/>
              </w:rPr>
              <w:t>, J.Zwierzchowski, Statystyczne metody wielowymiarowej analizy porównawczej. Teoria i zastosowania. Oficyna Wydawnicza SGH, Warszawa 2013.</w:t>
            </w:r>
          </w:p>
        </w:tc>
      </w:tr>
    </w:tbl>
    <w:p w14:paraId="702F50E0" w14:textId="77777777" w:rsidR="00FA3958" w:rsidRPr="00A0452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23E8A7F" w14:textId="77777777" w:rsidR="00E36771" w:rsidRPr="00A0452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4542459" w14:textId="77777777" w:rsidR="00E36771" w:rsidRPr="00A0452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B03279F" w14:textId="77777777" w:rsidR="00E36771" w:rsidRPr="00A0452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A04524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AC33" w14:textId="77777777" w:rsidR="00BF475C" w:rsidRDefault="00BF475C" w:rsidP="00283384">
      <w:pPr>
        <w:spacing w:after="0" w:line="240" w:lineRule="auto"/>
      </w:pPr>
      <w:r>
        <w:separator/>
      </w:r>
    </w:p>
  </w:endnote>
  <w:endnote w:type="continuationSeparator" w:id="0">
    <w:p w14:paraId="2739FF33" w14:textId="77777777" w:rsidR="00BF475C" w:rsidRDefault="00BF475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B901" w14:textId="77777777" w:rsidR="00BF475C" w:rsidRDefault="00BF475C" w:rsidP="00283384">
      <w:pPr>
        <w:spacing w:after="0" w:line="240" w:lineRule="auto"/>
      </w:pPr>
      <w:r>
        <w:separator/>
      </w:r>
    </w:p>
  </w:footnote>
  <w:footnote w:type="continuationSeparator" w:id="0">
    <w:p w14:paraId="2CB24658" w14:textId="77777777" w:rsidR="00BF475C" w:rsidRDefault="00BF475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19F3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185109" wp14:editId="30E97A0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7FBE58C" wp14:editId="65A1CE66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32C76"/>
    <w:multiLevelType w:val="hybridMultilevel"/>
    <w:tmpl w:val="E8E4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BF4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5EEE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4C28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DF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1EB5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4F0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3C17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378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2A09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3BEC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49D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524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19B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B6D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6F29"/>
    <w:rsid w:val="00BC77F2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475C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577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3EB7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EA1C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Kuszewski</cp:lastModifiedBy>
  <cp:revision>42</cp:revision>
  <dcterms:created xsi:type="dcterms:W3CDTF">2020-10-09T10:07:00Z</dcterms:created>
  <dcterms:modified xsi:type="dcterms:W3CDTF">2021-03-10T10:56:00Z</dcterms:modified>
</cp:coreProperties>
</file>