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6551F" w14:textId="6A556F6A" w:rsidR="007C7BC7" w:rsidRDefault="009222D1" w:rsidP="00612098">
      <w:pPr>
        <w:spacing w:after="480"/>
        <w:jc w:val="center"/>
      </w:pPr>
      <w:r>
        <w:rPr>
          <w:rFonts w:asciiTheme="minorHAnsi" w:hAnsiTheme="minorHAnsi"/>
          <w:noProof/>
          <w:sz w:val="52"/>
        </w:rPr>
        <w:drawing>
          <wp:inline distT="0" distB="0" distL="0" distR="0" wp14:anchorId="6AA027EC" wp14:editId="728BBFA6">
            <wp:extent cx="7020553" cy="1091676"/>
            <wp:effectExtent l="0" t="0" r="0" b="0"/>
            <wp:docPr id="1220673109" name="Obraz 1" descr="Set of logos: European Funds, Colours of the Republic of Poland,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73109" name="Obraz 1" descr="Set of logos: European Funds, Colours of the Republic of Poland, European Union."/>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03579" cy="1104586"/>
                    </a:xfrm>
                    <a:prstGeom prst="rect">
                      <a:avLst/>
                    </a:prstGeom>
                  </pic:spPr>
                </pic:pic>
              </a:graphicData>
            </a:graphic>
          </wp:inline>
        </w:drawing>
      </w:r>
    </w:p>
    <w:p w14:paraId="0D7A53CA" w14:textId="24BDFF81" w:rsidR="009222D1" w:rsidRPr="00612CFB" w:rsidRDefault="009222D1" w:rsidP="009222D1">
      <w:pPr>
        <w:rPr>
          <w:sz w:val="28"/>
          <w:szCs w:val="28"/>
          <w:lang w:val="en-US"/>
        </w:rPr>
      </w:pPr>
      <w:r w:rsidRPr="00612CFB">
        <w:rPr>
          <w:sz w:val="28"/>
          <w:szCs w:val="28"/>
          <w:lang w:val="en-US"/>
        </w:rPr>
        <w:t xml:space="preserve">Warsaw, </w:t>
      </w:r>
      <w:r w:rsidR="00EE4DC1">
        <w:rPr>
          <w:sz w:val="28"/>
          <w:szCs w:val="28"/>
          <w:lang w:val="en-US"/>
        </w:rPr>
        <w:t>20</w:t>
      </w:r>
      <w:r w:rsidRPr="00EE4DC1">
        <w:rPr>
          <w:sz w:val="28"/>
          <w:szCs w:val="28"/>
          <w:lang w:val="en-US"/>
        </w:rPr>
        <w:t>.03.2026</w:t>
      </w:r>
    </w:p>
    <w:p w14:paraId="56FCE0F7" w14:textId="785F707C" w:rsidR="009222D1" w:rsidRPr="00612CFB" w:rsidRDefault="009222D1" w:rsidP="009222D1">
      <w:pPr>
        <w:spacing w:after="480"/>
        <w:rPr>
          <w:sz w:val="28"/>
          <w:szCs w:val="28"/>
          <w:lang w:val="en-US"/>
        </w:rPr>
      </w:pPr>
      <w:r w:rsidRPr="00612CFB">
        <w:rPr>
          <w:sz w:val="28"/>
          <w:szCs w:val="28"/>
          <w:lang w:val="en-US"/>
        </w:rPr>
        <w:t>Document version: No. 1</w:t>
      </w:r>
    </w:p>
    <w:p w14:paraId="71D54497" w14:textId="794EA3F0" w:rsidR="009222D1" w:rsidRPr="00757E6C" w:rsidRDefault="009222D1" w:rsidP="00E15322">
      <w:pPr>
        <w:pStyle w:val="Tytu"/>
        <w:spacing w:before="240" w:after="480" w:line="360" w:lineRule="auto"/>
        <w:ind w:right="851"/>
        <w:jc w:val="both"/>
        <w:rPr>
          <w:rFonts w:ascii="Calibri" w:hAnsi="Calibri" w:cs="Calibri"/>
          <w:sz w:val="40"/>
          <w:szCs w:val="40"/>
          <w:lang w:val="en-US"/>
        </w:rPr>
      </w:pPr>
      <w:r w:rsidRPr="00757E6C">
        <w:rPr>
          <w:rFonts w:ascii="Calibri" w:hAnsi="Calibri" w:cs="Calibri"/>
          <w:sz w:val="40"/>
          <w:szCs w:val="40"/>
          <w:lang w:val="en-US"/>
        </w:rPr>
        <w:t>Schedule of the provision of support under the project entitled “</w:t>
      </w:r>
      <w:r w:rsidR="00612CFB" w:rsidRPr="00612CFB">
        <w:rPr>
          <w:rFonts w:ascii="Calibri" w:hAnsi="Calibri" w:cs="Calibri"/>
          <w:sz w:val="40"/>
          <w:szCs w:val="40"/>
          <w:lang w:val="en-US"/>
        </w:rPr>
        <w:t>Improving Academic Efficiency: University Management and Drop-out Reduction</w:t>
      </w:r>
      <w:r w:rsidRPr="00757E6C">
        <w:rPr>
          <w:rFonts w:ascii="Calibri" w:hAnsi="Calibri" w:cs="Calibri"/>
          <w:sz w:val="40"/>
          <w:szCs w:val="40"/>
          <w:lang w:val="en-US"/>
        </w:rPr>
        <w:t>”</w:t>
      </w:r>
    </w:p>
    <w:p w14:paraId="226DB85F" w14:textId="6669A650" w:rsidR="009222D1" w:rsidRPr="00612CFB" w:rsidRDefault="009222D1" w:rsidP="00E15322">
      <w:pPr>
        <w:pStyle w:val="Nagwek1"/>
        <w:rPr>
          <w:lang w:val="en-US"/>
        </w:rPr>
      </w:pPr>
      <w:r w:rsidRPr="00612CFB">
        <w:rPr>
          <w:lang w:val="en-US"/>
        </w:rPr>
        <w:t>Basic information:</w:t>
      </w:r>
    </w:p>
    <w:p w14:paraId="00141A4A" w14:textId="4199BF16" w:rsidR="009222D1" w:rsidRPr="00757E6C" w:rsidRDefault="009222D1" w:rsidP="00E15322">
      <w:pPr>
        <w:pStyle w:val="Akapitzlist"/>
        <w:numPr>
          <w:ilvl w:val="0"/>
          <w:numId w:val="1"/>
        </w:numPr>
        <w:spacing w:before="80" w:after="80" w:line="360" w:lineRule="auto"/>
        <w:ind w:left="284" w:hanging="284"/>
        <w:contextualSpacing w:val="0"/>
        <w:rPr>
          <w:lang w:val="en-US"/>
        </w:rPr>
      </w:pPr>
      <w:r w:rsidRPr="00757E6C">
        <w:rPr>
          <w:lang w:val="en-US"/>
        </w:rPr>
        <w:t xml:space="preserve">The project entitled </w:t>
      </w:r>
      <w:r w:rsidR="00757E6C" w:rsidRPr="00757E6C">
        <w:rPr>
          <w:lang w:val="en-US"/>
        </w:rPr>
        <w:t>„Improving Academic Efficiency: University Management and Drop-out Reduction”</w:t>
      </w:r>
      <w:r w:rsidRPr="00757E6C">
        <w:rPr>
          <w:lang w:val="en-US"/>
        </w:rPr>
        <w:t xml:space="preserve"> (project number: FERS.01.05-IP.08-0103/25) is implemented under the European Funds for Social Development 2021–2027 program and is co-financed by the European Social Fund Plus.</w:t>
      </w:r>
    </w:p>
    <w:p w14:paraId="627780E8" w14:textId="4551C9BF" w:rsidR="009222D1" w:rsidRPr="009222D1" w:rsidRDefault="009222D1" w:rsidP="00E15322">
      <w:pPr>
        <w:pStyle w:val="Akapitzlist"/>
        <w:numPr>
          <w:ilvl w:val="0"/>
          <w:numId w:val="1"/>
        </w:numPr>
        <w:spacing w:before="80" w:after="80" w:line="360" w:lineRule="auto"/>
        <w:ind w:left="284" w:hanging="284"/>
        <w:contextualSpacing w:val="0"/>
        <w:rPr>
          <w:lang w:val="en-US"/>
        </w:rPr>
      </w:pPr>
      <w:r w:rsidRPr="00612CFB">
        <w:rPr>
          <w:lang w:val="en-US"/>
        </w:rPr>
        <w:t xml:space="preserve">This document has been prepared in accordance with the principles for creating electronic documents specified in the document entitled “Annex No. 2: Accessibility Standards for Cohesion Policy 2021–2027.” </w:t>
      </w:r>
      <w:r w:rsidRPr="009222D1">
        <w:rPr>
          <w:lang w:val="en-US"/>
        </w:rPr>
        <w:t>If you experience any difficulties in reading, understanding, or have other specific needs related to analyzing the content of this documentation, please report them to</w:t>
      </w:r>
      <w:r>
        <w:rPr>
          <w:lang w:val="en-US"/>
        </w:rPr>
        <w:t xml:space="preserve"> </w:t>
      </w:r>
      <w:hyperlink r:id="rId6" w:history="1">
        <w:r w:rsidRPr="009222D1">
          <w:rPr>
            <w:rStyle w:val="Hipercze"/>
            <w:lang w:val="en-US"/>
          </w:rPr>
          <w:t>projektyeuropejskie@vizja.pl</w:t>
        </w:r>
      </w:hyperlink>
      <w:hyperlink r:id="rId7" w:history="1"/>
      <w:r w:rsidRPr="009222D1">
        <w:rPr>
          <w:lang w:val="en-US"/>
        </w:rPr>
        <w:t xml:space="preserve"> or by phone at</w:t>
      </w:r>
      <w:r w:rsidR="00B965B2">
        <w:rPr>
          <w:lang w:val="en-US"/>
        </w:rPr>
        <w:t> </w:t>
      </w:r>
      <w:r w:rsidR="00AA60DF">
        <w:rPr>
          <w:lang w:val="en-US"/>
        </w:rPr>
        <w:t>+4</w:t>
      </w:r>
      <w:r w:rsidRPr="009222D1">
        <w:rPr>
          <w:lang w:val="en-US"/>
        </w:rPr>
        <w:t>8</w:t>
      </w:r>
      <w:r w:rsidR="00AA60DF">
        <w:rPr>
          <w:lang w:val="en-US"/>
        </w:rPr>
        <w:t> </w:t>
      </w:r>
      <w:r w:rsidRPr="009222D1">
        <w:rPr>
          <w:lang w:val="en-US"/>
        </w:rPr>
        <w:t>22</w:t>
      </w:r>
      <w:r w:rsidR="00AA60DF">
        <w:rPr>
          <w:lang w:val="en-US"/>
        </w:rPr>
        <w:t> </w:t>
      </w:r>
      <w:r w:rsidRPr="009222D1">
        <w:rPr>
          <w:lang w:val="en-US"/>
        </w:rPr>
        <w:t>536</w:t>
      </w:r>
      <w:r w:rsidR="00AA60DF">
        <w:rPr>
          <w:lang w:val="en-US"/>
        </w:rPr>
        <w:t> </w:t>
      </w:r>
      <w:r w:rsidRPr="009222D1">
        <w:rPr>
          <w:lang w:val="en-US"/>
        </w:rPr>
        <w:t>54</w:t>
      </w:r>
      <w:r w:rsidR="00AA60DF">
        <w:rPr>
          <w:lang w:val="en-US"/>
        </w:rPr>
        <w:t> </w:t>
      </w:r>
      <w:r w:rsidRPr="009222D1">
        <w:rPr>
          <w:lang w:val="en-US"/>
        </w:rPr>
        <w:t>53.</w:t>
      </w:r>
    </w:p>
    <w:p w14:paraId="3211AE29" w14:textId="44C4B2F3" w:rsidR="009222D1" w:rsidRPr="009222D1" w:rsidRDefault="009222D1" w:rsidP="00E15322">
      <w:pPr>
        <w:pStyle w:val="Akapitzlist"/>
        <w:numPr>
          <w:ilvl w:val="0"/>
          <w:numId w:val="1"/>
        </w:numPr>
        <w:spacing w:before="80" w:after="80" w:line="360" w:lineRule="auto"/>
        <w:ind w:left="284" w:hanging="284"/>
        <w:contextualSpacing w:val="0"/>
        <w:rPr>
          <w:lang w:val="en-US"/>
        </w:rPr>
      </w:pPr>
      <w:r w:rsidRPr="009222D1">
        <w:rPr>
          <w:lang w:val="en-US"/>
        </w:rPr>
        <w:lastRenderedPageBreak/>
        <w:t xml:space="preserve">Detailed information about the project is available on the VIZJA University </w:t>
      </w:r>
      <w:hyperlink r:id="rId8" w:history="1">
        <w:r w:rsidRPr="009222D1">
          <w:rPr>
            <w:rStyle w:val="Hipercze"/>
            <w:lang w:val="en-US"/>
          </w:rPr>
          <w:t>website in the section dedicated to the project description</w:t>
        </w:r>
      </w:hyperlink>
      <w:r w:rsidRPr="009222D1">
        <w:rPr>
          <w:lang w:val="en-US"/>
        </w:rPr>
        <w:t>.</w:t>
      </w:r>
    </w:p>
    <w:p w14:paraId="27F89920" w14:textId="174F1AF1" w:rsidR="00757E6C" w:rsidRDefault="009222D1" w:rsidP="00E15322">
      <w:pPr>
        <w:spacing w:line="360" w:lineRule="auto"/>
        <w:ind w:left="284"/>
        <w:rPr>
          <w:lang w:val="en-US"/>
        </w:rPr>
      </w:pPr>
      <w:r w:rsidRPr="009222D1">
        <w:rPr>
          <w:lang w:val="en-US"/>
        </w:rPr>
        <w:t>Due to the individual nature of the support forms provided under the project, i.e., individual psychological sessions and individual coaching sessions, registration for these forms of support is conducted via the Microsoft</w:t>
      </w:r>
      <w:r w:rsidR="00AA60DF">
        <w:rPr>
          <w:lang w:val="en-US"/>
        </w:rPr>
        <w:t xml:space="preserve"> </w:t>
      </w:r>
      <w:r w:rsidRPr="009222D1">
        <w:rPr>
          <w:lang w:val="en-US"/>
        </w:rPr>
        <w:t>Bookings platform</w:t>
      </w:r>
      <w:r w:rsidR="00AA60DF">
        <w:rPr>
          <w:lang w:val="en-US"/>
        </w:rPr>
        <w:t>.</w:t>
      </w:r>
    </w:p>
    <w:p w14:paraId="4755118D" w14:textId="78351878" w:rsidR="009222D1" w:rsidRPr="00757E6C" w:rsidRDefault="009222D1" w:rsidP="00E15322">
      <w:pPr>
        <w:spacing w:line="360" w:lineRule="auto"/>
        <w:ind w:left="284"/>
        <w:rPr>
          <w:b/>
          <w:bCs/>
          <w:lang w:val="en-US"/>
        </w:rPr>
      </w:pPr>
      <w:r w:rsidRPr="00757E6C">
        <w:rPr>
          <w:b/>
          <w:bCs/>
          <w:lang w:val="en-US"/>
        </w:rPr>
        <w:t>To schedule an appointment, please use the appropriate link provided below:</w:t>
      </w:r>
    </w:p>
    <w:p w14:paraId="65DD7481" w14:textId="7FA15492" w:rsidR="00757E6C" w:rsidRDefault="00757E6C" w:rsidP="00E15322">
      <w:pPr>
        <w:spacing w:line="360" w:lineRule="auto"/>
        <w:ind w:left="284"/>
        <w:rPr>
          <w:lang w:val="en-US"/>
        </w:rPr>
      </w:pPr>
      <w:r w:rsidRPr="00757E6C">
        <w:rPr>
          <w:lang w:val="en-US"/>
        </w:rPr>
        <w:t>Individual psychological sessions</w:t>
      </w:r>
      <w:r>
        <w:rPr>
          <w:lang w:val="en-US"/>
        </w:rPr>
        <w:t xml:space="preserve">: </w:t>
      </w:r>
      <w:hyperlink r:id="rId9" w:history="1">
        <w:r w:rsidR="00104390">
          <w:rPr>
            <w:rStyle w:val="Hipercze"/>
            <w:lang w:val="en-US"/>
          </w:rPr>
          <w:t>MS Booking link - to schedule an individual psychological session, please click here</w:t>
        </w:r>
      </w:hyperlink>
    </w:p>
    <w:p w14:paraId="2F340A51" w14:textId="48BBCB22" w:rsidR="00757E6C" w:rsidRDefault="00757E6C" w:rsidP="00E15322">
      <w:pPr>
        <w:spacing w:line="360" w:lineRule="auto"/>
        <w:ind w:left="284"/>
        <w:rPr>
          <w:lang w:val="en-US"/>
        </w:rPr>
      </w:pPr>
      <w:r w:rsidRPr="00757E6C">
        <w:rPr>
          <w:lang w:val="en-US"/>
        </w:rPr>
        <w:t>Individual coaching sessions:</w:t>
      </w:r>
      <w:r>
        <w:rPr>
          <w:lang w:val="en-US"/>
        </w:rPr>
        <w:t xml:space="preserve"> </w:t>
      </w:r>
      <w:hyperlink r:id="rId10" w:history="1">
        <w:r w:rsidR="00104390">
          <w:rPr>
            <w:rStyle w:val="Hipercze"/>
            <w:lang w:val="en-US"/>
          </w:rPr>
          <w:t>MS Booking link - to schedule an individual coaching session, please click here</w:t>
        </w:r>
      </w:hyperlink>
    </w:p>
    <w:p w14:paraId="77621173" w14:textId="4A1A1D8D" w:rsidR="00612098" w:rsidRPr="009222D1" w:rsidRDefault="00757E6C" w:rsidP="00E15322">
      <w:pPr>
        <w:spacing w:line="360" w:lineRule="auto"/>
        <w:ind w:left="284"/>
        <w:rPr>
          <w:lang w:val="en-US"/>
        </w:rPr>
      </w:pPr>
      <w:r w:rsidRPr="00757E6C">
        <w:rPr>
          <w:lang w:val="en-US"/>
        </w:rPr>
        <w:t>Support groups:</w:t>
      </w:r>
      <w:r>
        <w:rPr>
          <w:lang w:val="en-US"/>
        </w:rPr>
        <w:t xml:space="preserve"> </w:t>
      </w:r>
      <w:hyperlink r:id="rId11" w:history="1">
        <w:r w:rsidR="00104390">
          <w:rPr>
            <w:rStyle w:val="Hipercze"/>
            <w:lang w:val="en-US"/>
          </w:rPr>
          <w:t>MS Booking Link - to schedule a support group session, please click here</w:t>
        </w:r>
      </w:hyperlink>
    </w:p>
    <w:p w14:paraId="674C7C73" w14:textId="55E6EE41" w:rsidR="00757E6C" w:rsidRDefault="00A65C14" w:rsidP="00E15322">
      <w:pPr>
        <w:spacing w:after="120" w:line="360" w:lineRule="auto"/>
        <w:ind w:left="284"/>
        <w:rPr>
          <w:lang w:val="en-US"/>
        </w:rPr>
      </w:pPr>
      <w:r w:rsidRPr="00A65C14">
        <w:rPr>
          <w:lang w:val="en-US"/>
        </w:rPr>
        <w:t>Upon opening the platform, Project Participants will have access to the current available appointments with the Specialists providing the support and will be able to book a chosen time for an individual session.</w:t>
      </w:r>
    </w:p>
    <w:p w14:paraId="7CC45CD1" w14:textId="2CDEF2E1" w:rsidR="009222D1" w:rsidRDefault="00A65C14" w:rsidP="00E15322">
      <w:pPr>
        <w:spacing w:after="480" w:line="360" w:lineRule="auto"/>
        <w:ind w:left="284"/>
        <w:rPr>
          <w:lang w:val="en-US"/>
        </w:rPr>
      </w:pPr>
      <w:r w:rsidRPr="00A65C14">
        <w:rPr>
          <w:lang w:val="en-US"/>
        </w:rPr>
        <w:t xml:space="preserve">Please note that, in accordance with the Recruitment and Participation Regulations of the project entitled </w:t>
      </w:r>
      <w:hyperlink r:id="rId12" w:history="1">
        <w:r w:rsidR="00757E6C">
          <w:rPr>
            <w:rStyle w:val="Hipercze"/>
            <w:lang w:val="en-US"/>
          </w:rPr>
          <w:t>"Improving Academic Efficiency: University Management and Drop-out Reduction"</w:t>
        </w:r>
      </w:hyperlink>
      <w:r w:rsidR="00757E6C">
        <w:rPr>
          <w:lang w:val="en-US"/>
        </w:rPr>
        <w:t xml:space="preserve"> - </w:t>
      </w:r>
      <w:r w:rsidRPr="00A65C14">
        <w:rPr>
          <w:lang w:val="en-US"/>
        </w:rPr>
        <w:t xml:space="preserve"> the ability to reserve appointments is available only to Project Participants who have successfully completed the recruitment process and have been qualified to participate in the project.</w:t>
      </w:r>
    </w:p>
    <w:p w14:paraId="6FD79BBD" w14:textId="49C82269" w:rsidR="00A65C14" w:rsidRDefault="00A65C14" w:rsidP="00E15322">
      <w:pPr>
        <w:pStyle w:val="Nagwek1"/>
      </w:pPr>
      <w:proofErr w:type="spellStart"/>
      <w:r w:rsidRPr="00A65C14">
        <w:t>Support</w:t>
      </w:r>
      <w:proofErr w:type="spellEnd"/>
      <w:r w:rsidRPr="00A65C14">
        <w:t xml:space="preserve"> </w:t>
      </w:r>
      <w:proofErr w:type="spellStart"/>
      <w:r w:rsidRPr="00A65C14">
        <w:t>Provision</w:t>
      </w:r>
      <w:proofErr w:type="spellEnd"/>
      <w:r w:rsidRPr="00A65C14">
        <w:t xml:space="preserve"> Schedule:</w:t>
      </w:r>
    </w:p>
    <w:tbl>
      <w:tblPr>
        <w:tblStyle w:val="Tabela-Siatka"/>
        <w:tblW w:w="0" w:type="auto"/>
        <w:tblLook w:val="04A0" w:firstRow="1" w:lastRow="0" w:firstColumn="1" w:lastColumn="0" w:noHBand="0" w:noVBand="1"/>
      </w:tblPr>
      <w:tblGrid>
        <w:gridCol w:w="3604"/>
        <w:gridCol w:w="3604"/>
        <w:gridCol w:w="3605"/>
        <w:gridCol w:w="3605"/>
      </w:tblGrid>
      <w:tr w:rsidR="00A65C14" w14:paraId="3BE69305" w14:textId="77777777" w:rsidTr="004E1B17">
        <w:tc>
          <w:tcPr>
            <w:tcW w:w="3604" w:type="dxa"/>
            <w:shd w:val="clear" w:color="auto" w:fill="D1D1D1" w:themeFill="background2" w:themeFillShade="E6"/>
          </w:tcPr>
          <w:p w14:paraId="0AD732E2" w14:textId="15BB4BEB" w:rsidR="00A65C14" w:rsidRPr="00A65C14" w:rsidRDefault="00A65C14" w:rsidP="00A65C14">
            <w:pPr>
              <w:spacing w:after="80"/>
              <w:jc w:val="center"/>
              <w:rPr>
                <w:b/>
                <w:bCs/>
                <w:sz w:val="28"/>
                <w:szCs w:val="28"/>
              </w:rPr>
            </w:pPr>
            <w:r w:rsidRPr="00A65C14">
              <w:rPr>
                <w:b/>
                <w:bCs/>
                <w:sz w:val="28"/>
                <w:szCs w:val="28"/>
              </w:rPr>
              <w:t xml:space="preserve">Form of </w:t>
            </w:r>
            <w:proofErr w:type="spellStart"/>
            <w:r w:rsidRPr="00A65C14">
              <w:rPr>
                <w:b/>
                <w:bCs/>
                <w:sz w:val="28"/>
                <w:szCs w:val="28"/>
              </w:rPr>
              <w:t>support</w:t>
            </w:r>
            <w:proofErr w:type="spellEnd"/>
          </w:p>
        </w:tc>
        <w:tc>
          <w:tcPr>
            <w:tcW w:w="3604" w:type="dxa"/>
            <w:shd w:val="clear" w:color="auto" w:fill="D1D1D1" w:themeFill="background2" w:themeFillShade="E6"/>
          </w:tcPr>
          <w:p w14:paraId="7CC7C0AB" w14:textId="64E0B5D4" w:rsidR="00A65C14" w:rsidRPr="00A65C14" w:rsidRDefault="00A65C14" w:rsidP="00A65C14">
            <w:pPr>
              <w:spacing w:after="80"/>
              <w:jc w:val="center"/>
              <w:rPr>
                <w:b/>
                <w:bCs/>
                <w:sz w:val="28"/>
                <w:szCs w:val="28"/>
              </w:rPr>
            </w:pPr>
            <w:proofErr w:type="spellStart"/>
            <w:r w:rsidRPr="00A65C14">
              <w:rPr>
                <w:b/>
                <w:bCs/>
                <w:sz w:val="28"/>
                <w:szCs w:val="28"/>
              </w:rPr>
              <w:t>Number</w:t>
            </w:r>
            <w:proofErr w:type="spellEnd"/>
            <w:r w:rsidRPr="00A65C14">
              <w:rPr>
                <w:b/>
                <w:bCs/>
                <w:sz w:val="28"/>
                <w:szCs w:val="28"/>
              </w:rPr>
              <w:t xml:space="preserve"> of </w:t>
            </w:r>
            <w:proofErr w:type="spellStart"/>
            <w:r w:rsidRPr="00A65C14">
              <w:rPr>
                <w:b/>
                <w:bCs/>
                <w:sz w:val="28"/>
                <w:szCs w:val="28"/>
              </w:rPr>
              <w:t>hours</w:t>
            </w:r>
            <w:proofErr w:type="spellEnd"/>
            <w:r w:rsidRPr="00A65C14">
              <w:rPr>
                <w:b/>
                <w:bCs/>
                <w:sz w:val="28"/>
                <w:szCs w:val="28"/>
              </w:rPr>
              <w:t xml:space="preserve"> (maximum)</w:t>
            </w:r>
          </w:p>
        </w:tc>
        <w:tc>
          <w:tcPr>
            <w:tcW w:w="3605" w:type="dxa"/>
            <w:shd w:val="clear" w:color="auto" w:fill="D1D1D1" w:themeFill="background2" w:themeFillShade="E6"/>
          </w:tcPr>
          <w:p w14:paraId="163765A5" w14:textId="25FA5865" w:rsidR="00A65C14" w:rsidRPr="00A65C14" w:rsidRDefault="00A65C14" w:rsidP="00A65C14">
            <w:pPr>
              <w:spacing w:after="80"/>
              <w:jc w:val="center"/>
              <w:rPr>
                <w:b/>
                <w:bCs/>
                <w:sz w:val="28"/>
                <w:szCs w:val="28"/>
              </w:rPr>
            </w:pPr>
            <w:proofErr w:type="spellStart"/>
            <w:r w:rsidRPr="00A65C14">
              <w:rPr>
                <w:b/>
                <w:bCs/>
                <w:sz w:val="28"/>
                <w:szCs w:val="28"/>
              </w:rPr>
              <w:t>Implementation</w:t>
            </w:r>
            <w:proofErr w:type="spellEnd"/>
            <w:r w:rsidRPr="00A65C14">
              <w:rPr>
                <w:b/>
                <w:bCs/>
                <w:sz w:val="28"/>
                <w:szCs w:val="28"/>
              </w:rPr>
              <w:t xml:space="preserve"> period</w:t>
            </w:r>
          </w:p>
        </w:tc>
        <w:tc>
          <w:tcPr>
            <w:tcW w:w="3605" w:type="dxa"/>
            <w:shd w:val="clear" w:color="auto" w:fill="D1D1D1" w:themeFill="background2" w:themeFillShade="E6"/>
          </w:tcPr>
          <w:p w14:paraId="664338CA" w14:textId="5EADCE96" w:rsidR="00A65C14" w:rsidRPr="00A65C14" w:rsidRDefault="00A65C14" w:rsidP="00A65C14">
            <w:pPr>
              <w:spacing w:after="80"/>
              <w:jc w:val="center"/>
              <w:rPr>
                <w:b/>
                <w:bCs/>
                <w:sz w:val="28"/>
                <w:szCs w:val="28"/>
              </w:rPr>
            </w:pPr>
            <w:proofErr w:type="spellStart"/>
            <w:r w:rsidRPr="00A65C14">
              <w:rPr>
                <w:b/>
                <w:bCs/>
                <w:sz w:val="28"/>
                <w:szCs w:val="28"/>
              </w:rPr>
              <w:t>Remarks</w:t>
            </w:r>
            <w:proofErr w:type="spellEnd"/>
          </w:p>
        </w:tc>
      </w:tr>
      <w:tr w:rsidR="00A65C14" w:rsidRPr="00EE4DC1" w14:paraId="7F37270F" w14:textId="77777777" w:rsidTr="00A65C14">
        <w:tc>
          <w:tcPr>
            <w:tcW w:w="3604" w:type="dxa"/>
          </w:tcPr>
          <w:p w14:paraId="17A30767" w14:textId="364040BD" w:rsidR="00A65C14" w:rsidRPr="0014684D" w:rsidRDefault="0014684D" w:rsidP="0014684D">
            <w:pPr>
              <w:spacing w:before="80" w:after="80" w:line="360" w:lineRule="auto"/>
              <w:jc w:val="center"/>
              <w:rPr>
                <w:lang w:val="en-US"/>
              </w:rPr>
            </w:pPr>
            <w:r w:rsidRPr="00612CFB">
              <w:rPr>
                <w:rFonts w:eastAsiaTheme="minorEastAsia"/>
                <w:lang w:val="en-US"/>
              </w:rPr>
              <w:t>Individual psychological sessions in Polish</w:t>
            </w:r>
          </w:p>
        </w:tc>
        <w:tc>
          <w:tcPr>
            <w:tcW w:w="3604" w:type="dxa"/>
          </w:tcPr>
          <w:p w14:paraId="645FB310" w14:textId="4EBE82F5" w:rsidR="00A65C14" w:rsidRPr="008D6D90" w:rsidRDefault="0014684D" w:rsidP="0014684D">
            <w:pPr>
              <w:spacing w:before="80" w:after="80" w:line="360" w:lineRule="auto"/>
              <w:jc w:val="center"/>
              <w:rPr>
                <w:rFonts w:eastAsiaTheme="minorEastAsia"/>
                <w:lang w:val="en-US"/>
              </w:rPr>
            </w:pPr>
            <w:r w:rsidRPr="008D6D90">
              <w:rPr>
                <w:rFonts w:eastAsiaTheme="minorEastAsia"/>
                <w:lang w:val="en-US"/>
              </w:rPr>
              <w:t>1800 clock hours</w:t>
            </w:r>
            <w:r w:rsidR="008D6D90" w:rsidRPr="008D6D90">
              <w:rPr>
                <w:rFonts w:eastAsiaTheme="minorEastAsia"/>
                <w:lang w:val="en-US"/>
              </w:rPr>
              <w:t xml:space="preserve"> (including</w:t>
            </w:r>
            <w:r w:rsidR="008D6D90">
              <w:rPr>
                <w:rFonts w:eastAsiaTheme="minorEastAsia"/>
                <w:lang w:val="en-US"/>
              </w:rPr>
              <w:t> </w:t>
            </w:r>
            <w:r w:rsidR="008D6D90" w:rsidRPr="008D6D90">
              <w:rPr>
                <w:rFonts w:eastAsiaTheme="minorEastAsia"/>
                <w:lang w:val="en-US"/>
              </w:rPr>
              <w:t>a</w:t>
            </w:r>
            <w:r w:rsidR="008D6D90">
              <w:rPr>
                <w:rFonts w:eastAsiaTheme="minorEastAsia"/>
                <w:lang w:val="en-US"/>
              </w:rPr>
              <w:t> </w:t>
            </w:r>
            <w:r w:rsidR="008D6D90" w:rsidRPr="008D6D90">
              <w:rPr>
                <w:rFonts w:eastAsiaTheme="minorEastAsia"/>
                <w:lang w:val="en-US"/>
              </w:rPr>
              <w:t>limit</w:t>
            </w:r>
            <w:r w:rsidR="008D6D90">
              <w:rPr>
                <w:rFonts w:eastAsiaTheme="minorEastAsia"/>
                <w:lang w:val="en-US"/>
              </w:rPr>
              <w:t> </w:t>
            </w:r>
            <w:r w:rsidR="008D6D90" w:rsidRPr="008D6D90">
              <w:rPr>
                <w:rFonts w:eastAsiaTheme="minorEastAsia"/>
                <w:lang w:val="en-US"/>
              </w:rPr>
              <w:t>of 1 to 8 clock hours per participant)</w:t>
            </w:r>
          </w:p>
        </w:tc>
        <w:tc>
          <w:tcPr>
            <w:tcW w:w="3605" w:type="dxa"/>
          </w:tcPr>
          <w:p w14:paraId="466552F1" w14:textId="7B464482" w:rsidR="00A65C14" w:rsidRPr="0014684D" w:rsidRDefault="003C01E2" w:rsidP="0014684D">
            <w:pPr>
              <w:spacing w:before="80" w:after="80" w:line="360" w:lineRule="auto"/>
              <w:jc w:val="center"/>
              <w:rPr>
                <w:lang w:val="en-US"/>
              </w:rPr>
            </w:pPr>
            <w:r>
              <w:rPr>
                <w:rFonts w:eastAsiaTheme="minorEastAsia"/>
              </w:rPr>
              <w:t>20.</w:t>
            </w:r>
            <w:r w:rsidR="0014684D" w:rsidRPr="004646F2">
              <w:rPr>
                <w:rFonts w:eastAsiaTheme="minorEastAsia"/>
              </w:rPr>
              <w:t>03.2026 – 28.02.2029</w:t>
            </w:r>
          </w:p>
        </w:tc>
        <w:tc>
          <w:tcPr>
            <w:tcW w:w="3605" w:type="dxa"/>
          </w:tcPr>
          <w:p w14:paraId="382BB122" w14:textId="591A4325" w:rsidR="0014684D" w:rsidRPr="008D6D90" w:rsidRDefault="008D6D90" w:rsidP="008D6D90">
            <w:pPr>
              <w:tabs>
                <w:tab w:val="left" w:pos="2216"/>
              </w:tabs>
              <w:spacing w:before="80" w:after="80"/>
              <w:rPr>
                <w:rFonts w:eastAsiaTheme="minorEastAsia"/>
                <w:lang w:val="en-US"/>
              </w:rPr>
            </w:pPr>
            <w:r w:rsidRPr="00612CFB">
              <w:rPr>
                <w:rFonts w:eastAsiaTheme="minorEastAsia"/>
                <w:lang w:val="en-US"/>
              </w:rPr>
              <w:t>Support is provided on an individual and confidential basis. Appointment bookings are handled individually</w:t>
            </w:r>
            <w:r w:rsidRPr="008D6D90">
              <w:rPr>
                <w:rFonts w:eastAsiaTheme="minorEastAsia"/>
                <w:lang w:val="en-US"/>
              </w:rPr>
              <w:t>.</w:t>
            </w:r>
            <w:r w:rsidR="0014684D">
              <w:rPr>
                <w:lang w:val="en-US"/>
              </w:rPr>
              <w:tab/>
            </w:r>
          </w:p>
        </w:tc>
      </w:tr>
      <w:tr w:rsidR="00A65C14" w:rsidRPr="00EE4DC1" w14:paraId="0D09C1CB" w14:textId="77777777" w:rsidTr="00A65C14">
        <w:tc>
          <w:tcPr>
            <w:tcW w:w="3604" w:type="dxa"/>
          </w:tcPr>
          <w:p w14:paraId="01E2761F" w14:textId="03BAC891" w:rsidR="00A65C14" w:rsidRPr="00612CFB" w:rsidRDefault="0014684D" w:rsidP="0014684D">
            <w:pPr>
              <w:spacing w:before="80" w:after="80" w:line="360" w:lineRule="auto"/>
              <w:jc w:val="center"/>
              <w:rPr>
                <w:rFonts w:eastAsiaTheme="minorEastAsia"/>
                <w:lang w:val="en-US"/>
              </w:rPr>
            </w:pPr>
            <w:r w:rsidRPr="00612CFB">
              <w:rPr>
                <w:rFonts w:eastAsiaTheme="minorEastAsia"/>
                <w:lang w:val="en-US"/>
              </w:rPr>
              <w:lastRenderedPageBreak/>
              <w:t>Individual psychological sessions in English</w:t>
            </w:r>
          </w:p>
        </w:tc>
        <w:tc>
          <w:tcPr>
            <w:tcW w:w="3604" w:type="dxa"/>
          </w:tcPr>
          <w:p w14:paraId="67DA268D" w14:textId="496526CE" w:rsidR="00A65C14" w:rsidRPr="008D6D90" w:rsidRDefault="0014684D" w:rsidP="0014684D">
            <w:pPr>
              <w:spacing w:before="80" w:after="80" w:line="360" w:lineRule="auto"/>
              <w:jc w:val="center"/>
              <w:rPr>
                <w:rFonts w:eastAsiaTheme="minorEastAsia"/>
                <w:lang w:val="en-US"/>
              </w:rPr>
            </w:pPr>
            <w:r w:rsidRPr="008D6D90">
              <w:rPr>
                <w:rFonts w:eastAsiaTheme="minorEastAsia"/>
                <w:lang w:val="en-US"/>
              </w:rPr>
              <w:t>450 clock hours</w:t>
            </w:r>
            <w:r w:rsidR="008D6D90" w:rsidRPr="008D6D90">
              <w:rPr>
                <w:rFonts w:eastAsiaTheme="minorEastAsia"/>
                <w:lang w:val="en-US"/>
              </w:rPr>
              <w:t xml:space="preserve"> (including</w:t>
            </w:r>
            <w:r w:rsidR="008D6D90">
              <w:rPr>
                <w:rFonts w:eastAsiaTheme="minorEastAsia"/>
                <w:lang w:val="en-US"/>
              </w:rPr>
              <w:t> </w:t>
            </w:r>
            <w:r w:rsidR="008D6D90" w:rsidRPr="008D6D90">
              <w:rPr>
                <w:rFonts w:eastAsiaTheme="minorEastAsia"/>
                <w:lang w:val="en-US"/>
              </w:rPr>
              <w:t>a</w:t>
            </w:r>
            <w:r w:rsidR="008D6D90">
              <w:rPr>
                <w:rFonts w:eastAsiaTheme="minorEastAsia"/>
                <w:lang w:val="en-US"/>
              </w:rPr>
              <w:t> </w:t>
            </w:r>
            <w:r w:rsidR="008D6D90" w:rsidRPr="008D6D90">
              <w:rPr>
                <w:rFonts w:eastAsiaTheme="minorEastAsia"/>
                <w:lang w:val="en-US"/>
              </w:rPr>
              <w:t>limit</w:t>
            </w:r>
            <w:r w:rsidR="008D6D90">
              <w:rPr>
                <w:rFonts w:eastAsiaTheme="minorEastAsia"/>
                <w:lang w:val="en-US"/>
              </w:rPr>
              <w:t> </w:t>
            </w:r>
            <w:r w:rsidR="008D6D90" w:rsidRPr="008D6D90">
              <w:rPr>
                <w:rFonts w:eastAsiaTheme="minorEastAsia"/>
                <w:lang w:val="en-US"/>
              </w:rPr>
              <w:t>of 1 to 8 clock hours per participant)</w:t>
            </w:r>
          </w:p>
        </w:tc>
        <w:tc>
          <w:tcPr>
            <w:tcW w:w="3605" w:type="dxa"/>
          </w:tcPr>
          <w:p w14:paraId="3705DE45" w14:textId="61DC2C44" w:rsidR="00A65C14" w:rsidRPr="0014684D" w:rsidRDefault="003C01E2" w:rsidP="0014684D">
            <w:pPr>
              <w:spacing w:before="80" w:after="80" w:line="360" w:lineRule="auto"/>
              <w:jc w:val="center"/>
              <w:rPr>
                <w:rFonts w:eastAsiaTheme="minorEastAsia"/>
              </w:rPr>
            </w:pPr>
            <w:r>
              <w:rPr>
                <w:rFonts w:eastAsiaTheme="minorEastAsia"/>
              </w:rPr>
              <w:t>20.</w:t>
            </w:r>
            <w:r w:rsidR="0014684D" w:rsidRPr="004646F2">
              <w:rPr>
                <w:rFonts w:eastAsiaTheme="minorEastAsia"/>
              </w:rPr>
              <w:t>03.2026 – 28.02.2029</w:t>
            </w:r>
          </w:p>
        </w:tc>
        <w:tc>
          <w:tcPr>
            <w:tcW w:w="3605" w:type="dxa"/>
          </w:tcPr>
          <w:p w14:paraId="772CCEE3" w14:textId="6A284340" w:rsidR="00A65C14" w:rsidRPr="005F253B" w:rsidRDefault="0014684D" w:rsidP="008D6D90">
            <w:pPr>
              <w:spacing w:before="80" w:after="80"/>
              <w:rPr>
                <w:rFonts w:eastAsiaTheme="minorEastAsia"/>
                <w:lang w:val="en-US"/>
              </w:rPr>
            </w:pPr>
            <w:r w:rsidRPr="00612CFB">
              <w:rPr>
                <w:rFonts w:eastAsiaTheme="minorEastAsia"/>
                <w:lang w:val="en-US"/>
              </w:rPr>
              <w:t xml:space="preserve">The support is individual and confidential. </w:t>
            </w:r>
            <w:r w:rsidRPr="005F253B">
              <w:rPr>
                <w:rFonts w:eastAsiaTheme="minorEastAsia"/>
                <w:lang w:val="en-US"/>
              </w:rPr>
              <w:t>Therefore, registrations are conducted on an</w:t>
            </w:r>
            <w:r w:rsidR="005F253B" w:rsidRPr="005F253B">
              <w:rPr>
                <w:rFonts w:eastAsiaTheme="minorEastAsia"/>
                <w:lang w:val="en-US"/>
              </w:rPr>
              <w:t> </w:t>
            </w:r>
            <w:r w:rsidRPr="005F253B">
              <w:rPr>
                <w:rFonts w:eastAsiaTheme="minorEastAsia"/>
                <w:lang w:val="en-US"/>
              </w:rPr>
              <w:t>individual basis.</w:t>
            </w:r>
          </w:p>
        </w:tc>
      </w:tr>
      <w:tr w:rsidR="00A65C14" w:rsidRPr="00EE4DC1" w14:paraId="594D0BBE" w14:textId="77777777" w:rsidTr="00A65C14">
        <w:tc>
          <w:tcPr>
            <w:tcW w:w="3604" w:type="dxa"/>
          </w:tcPr>
          <w:p w14:paraId="4A5C4ECE" w14:textId="52032CD2" w:rsidR="00A65C14" w:rsidRPr="00612CFB" w:rsidRDefault="0014684D" w:rsidP="0014684D">
            <w:pPr>
              <w:spacing w:before="80" w:after="80" w:line="360" w:lineRule="auto"/>
              <w:jc w:val="center"/>
              <w:rPr>
                <w:rFonts w:eastAsiaTheme="minorEastAsia"/>
                <w:lang w:val="en-US"/>
              </w:rPr>
            </w:pPr>
            <w:r w:rsidRPr="00612CFB">
              <w:rPr>
                <w:rFonts w:eastAsiaTheme="minorEastAsia"/>
                <w:lang w:val="en-US"/>
              </w:rPr>
              <w:t>Individual coaching sessions in Polish</w:t>
            </w:r>
          </w:p>
        </w:tc>
        <w:tc>
          <w:tcPr>
            <w:tcW w:w="3604" w:type="dxa"/>
          </w:tcPr>
          <w:p w14:paraId="5248084E" w14:textId="6674D12D" w:rsidR="00A65C14" w:rsidRPr="008D6D90" w:rsidRDefault="0014684D" w:rsidP="0014684D">
            <w:pPr>
              <w:spacing w:before="80" w:after="80" w:line="360" w:lineRule="auto"/>
              <w:jc w:val="center"/>
              <w:rPr>
                <w:rFonts w:eastAsiaTheme="minorEastAsia"/>
                <w:lang w:val="en-US"/>
              </w:rPr>
            </w:pPr>
            <w:r w:rsidRPr="008D6D90">
              <w:rPr>
                <w:rFonts w:eastAsiaTheme="minorEastAsia"/>
                <w:lang w:val="en-US"/>
              </w:rPr>
              <w:t>1080 clock hours</w:t>
            </w:r>
            <w:r w:rsidR="008D6D90" w:rsidRPr="008D6D90">
              <w:rPr>
                <w:rFonts w:eastAsiaTheme="minorEastAsia"/>
                <w:lang w:val="en-US"/>
              </w:rPr>
              <w:t xml:space="preserve"> (including</w:t>
            </w:r>
            <w:r w:rsidR="008D6D90">
              <w:rPr>
                <w:rFonts w:eastAsiaTheme="minorEastAsia"/>
                <w:lang w:val="en-US"/>
              </w:rPr>
              <w:t> </w:t>
            </w:r>
            <w:r w:rsidR="008D6D90" w:rsidRPr="008D6D90">
              <w:rPr>
                <w:rFonts w:eastAsiaTheme="minorEastAsia"/>
                <w:lang w:val="en-US"/>
              </w:rPr>
              <w:t>a</w:t>
            </w:r>
            <w:r w:rsidR="008D6D90">
              <w:rPr>
                <w:rFonts w:eastAsiaTheme="minorEastAsia"/>
                <w:lang w:val="en-US"/>
              </w:rPr>
              <w:t> </w:t>
            </w:r>
            <w:r w:rsidR="008D6D90" w:rsidRPr="008D6D90">
              <w:rPr>
                <w:rFonts w:eastAsiaTheme="minorEastAsia"/>
                <w:lang w:val="en-US"/>
              </w:rPr>
              <w:t>limit</w:t>
            </w:r>
            <w:r w:rsidR="008D6D90">
              <w:rPr>
                <w:rFonts w:eastAsiaTheme="minorEastAsia"/>
                <w:lang w:val="en-US"/>
              </w:rPr>
              <w:t> </w:t>
            </w:r>
            <w:r w:rsidR="008D6D90" w:rsidRPr="008D6D90">
              <w:rPr>
                <w:rFonts w:eastAsiaTheme="minorEastAsia"/>
                <w:lang w:val="en-US"/>
              </w:rPr>
              <w:t>of 1 to 3 clock hours per participant)</w:t>
            </w:r>
          </w:p>
        </w:tc>
        <w:tc>
          <w:tcPr>
            <w:tcW w:w="3605" w:type="dxa"/>
          </w:tcPr>
          <w:p w14:paraId="30737F83" w14:textId="538EEF7E" w:rsidR="00A65C14" w:rsidRPr="0014684D" w:rsidRDefault="003C01E2" w:rsidP="0014684D">
            <w:pPr>
              <w:spacing w:before="80" w:after="80" w:line="360" w:lineRule="auto"/>
              <w:jc w:val="center"/>
              <w:rPr>
                <w:rFonts w:eastAsiaTheme="minorEastAsia"/>
              </w:rPr>
            </w:pPr>
            <w:r>
              <w:rPr>
                <w:rFonts w:eastAsiaTheme="minorEastAsia"/>
              </w:rPr>
              <w:t>20.</w:t>
            </w:r>
            <w:r w:rsidR="0014684D" w:rsidRPr="004646F2">
              <w:rPr>
                <w:rFonts w:eastAsiaTheme="minorEastAsia"/>
              </w:rPr>
              <w:t>03.2026 – 28.02.2029</w:t>
            </w:r>
          </w:p>
        </w:tc>
        <w:tc>
          <w:tcPr>
            <w:tcW w:w="3605" w:type="dxa"/>
          </w:tcPr>
          <w:p w14:paraId="4AB583FC" w14:textId="5CAB4B7E" w:rsidR="0014684D" w:rsidRPr="005F253B" w:rsidRDefault="0014684D" w:rsidP="008D6D90">
            <w:pPr>
              <w:spacing w:before="80" w:after="80"/>
              <w:rPr>
                <w:rFonts w:eastAsiaTheme="minorEastAsia"/>
                <w:lang w:val="en-US"/>
              </w:rPr>
            </w:pPr>
            <w:r w:rsidRPr="00612CFB">
              <w:rPr>
                <w:rFonts w:eastAsiaTheme="minorEastAsia"/>
                <w:lang w:val="en-US"/>
              </w:rPr>
              <w:t xml:space="preserve">The support is individual and confidential. </w:t>
            </w:r>
            <w:r w:rsidRPr="005F253B">
              <w:rPr>
                <w:rFonts w:eastAsiaTheme="minorEastAsia"/>
                <w:lang w:val="en-US"/>
              </w:rPr>
              <w:t>Therefore, registrations are conducted on an</w:t>
            </w:r>
            <w:r w:rsidR="005F253B" w:rsidRPr="005F253B">
              <w:rPr>
                <w:rFonts w:eastAsiaTheme="minorEastAsia"/>
                <w:lang w:val="en-US"/>
              </w:rPr>
              <w:t> </w:t>
            </w:r>
            <w:r w:rsidRPr="005F253B">
              <w:rPr>
                <w:rFonts w:eastAsiaTheme="minorEastAsia"/>
                <w:lang w:val="en-US"/>
              </w:rPr>
              <w:t>individual basis.</w:t>
            </w:r>
          </w:p>
          <w:p w14:paraId="59EFA300" w14:textId="77777777" w:rsidR="00A65C14" w:rsidRPr="005F253B" w:rsidRDefault="00A65C14" w:rsidP="008D6D90">
            <w:pPr>
              <w:spacing w:before="80" w:after="80"/>
              <w:rPr>
                <w:rFonts w:eastAsiaTheme="minorEastAsia"/>
                <w:lang w:val="en-US"/>
              </w:rPr>
            </w:pPr>
          </w:p>
        </w:tc>
      </w:tr>
      <w:tr w:rsidR="00A65C14" w:rsidRPr="00EE4DC1" w14:paraId="5E51144C" w14:textId="77777777" w:rsidTr="00A65C14">
        <w:tc>
          <w:tcPr>
            <w:tcW w:w="3604" w:type="dxa"/>
          </w:tcPr>
          <w:p w14:paraId="7BC86291" w14:textId="6149F106" w:rsidR="00A65C14" w:rsidRPr="00612CFB" w:rsidRDefault="0014684D" w:rsidP="0014684D">
            <w:pPr>
              <w:spacing w:before="80" w:after="80" w:line="360" w:lineRule="auto"/>
              <w:jc w:val="center"/>
              <w:rPr>
                <w:rFonts w:eastAsiaTheme="minorEastAsia"/>
                <w:lang w:val="en-US"/>
              </w:rPr>
            </w:pPr>
            <w:r w:rsidRPr="00612CFB">
              <w:rPr>
                <w:rFonts w:eastAsiaTheme="minorEastAsia"/>
                <w:lang w:val="en-US"/>
              </w:rPr>
              <w:t>Individual coaching sessions in English</w:t>
            </w:r>
          </w:p>
        </w:tc>
        <w:tc>
          <w:tcPr>
            <w:tcW w:w="3604" w:type="dxa"/>
          </w:tcPr>
          <w:p w14:paraId="517A601E" w14:textId="4E791C0E" w:rsidR="00A65C14" w:rsidRPr="008D6D90" w:rsidRDefault="0014684D" w:rsidP="0014684D">
            <w:pPr>
              <w:spacing w:before="80" w:after="80" w:line="360" w:lineRule="auto"/>
              <w:jc w:val="center"/>
              <w:rPr>
                <w:rFonts w:eastAsiaTheme="minorEastAsia"/>
                <w:lang w:val="en-US"/>
              </w:rPr>
            </w:pPr>
            <w:r w:rsidRPr="008D6D90">
              <w:rPr>
                <w:rFonts w:eastAsiaTheme="minorEastAsia"/>
                <w:lang w:val="en-US"/>
              </w:rPr>
              <w:t>450 clock hours</w:t>
            </w:r>
            <w:r w:rsidR="008D6D90" w:rsidRPr="008D6D90">
              <w:rPr>
                <w:rFonts w:eastAsiaTheme="minorEastAsia"/>
                <w:lang w:val="en-US"/>
              </w:rPr>
              <w:t xml:space="preserve"> (including</w:t>
            </w:r>
            <w:r w:rsidR="008D6D90">
              <w:rPr>
                <w:rFonts w:eastAsiaTheme="minorEastAsia"/>
                <w:lang w:val="en-US"/>
              </w:rPr>
              <w:t> </w:t>
            </w:r>
            <w:r w:rsidR="008D6D90" w:rsidRPr="008D6D90">
              <w:rPr>
                <w:rFonts w:eastAsiaTheme="minorEastAsia"/>
                <w:lang w:val="en-US"/>
              </w:rPr>
              <w:t>a</w:t>
            </w:r>
            <w:r w:rsidR="008D6D90">
              <w:rPr>
                <w:rFonts w:eastAsiaTheme="minorEastAsia"/>
                <w:lang w:val="en-US"/>
              </w:rPr>
              <w:t> </w:t>
            </w:r>
            <w:r w:rsidR="008D6D90" w:rsidRPr="008D6D90">
              <w:rPr>
                <w:rFonts w:eastAsiaTheme="minorEastAsia"/>
                <w:lang w:val="en-US"/>
              </w:rPr>
              <w:t>limit</w:t>
            </w:r>
            <w:r w:rsidR="008D6D90">
              <w:rPr>
                <w:rFonts w:eastAsiaTheme="minorEastAsia"/>
                <w:lang w:val="en-US"/>
              </w:rPr>
              <w:t> </w:t>
            </w:r>
            <w:r w:rsidR="008D6D90" w:rsidRPr="008D6D90">
              <w:rPr>
                <w:rFonts w:eastAsiaTheme="minorEastAsia"/>
                <w:lang w:val="en-US"/>
              </w:rPr>
              <w:t>of 1 to 3 clock hours per participant)</w:t>
            </w:r>
          </w:p>
        </w:tc>
        <w:tc>
          <w:tcPr>
            <w:tcW w:w="3605" w:type="dxa"/>
          </w:tcPr>
          <w:p w14:paraId="5EC63A16" w14:textId="30251C74" w:rsidR="00A65C14" w:rsidRPr="0014684D" w:rsidRDefault="003C01E2" w:rsidP="0014684D">
            <w:pPr>
              <w:spacing w:before="80" w:after="80" w:line="360" w:lineRule="auto"/>
              <w:jc w:val="center"/>
              <w:rPr>
                <w:rFonts w:eastAsiaTheme="minorEastAsia"/>
              </w:rPr>
            </w:pPr>
            <w:r>
              <w:rPr>
                <w:rFonts w:eastAsiaTheme="minorEastAsia"/>
              </w:rPr>
              <w:t>20.</w:t>
            </w:r>
            <w:r w:rsidR="0014684D" w:rsidRPr="004646F2">
              <w:rPr>
                <w:rFonts w:eastAsiaTheme="minorEastAsia"/>
              </w:rPr>
              <w:t>03.2026 – 28.02.2029</w:t>
            </w:r>
          </w:p>
        </w:tc>
        <w:tc>
          <w:tcPr>
            <w:tcW w:w="3605" w:type="dxa"/>
          </w:tcPr>
          <w:p w14:paraId="75AF3A00" w14:textId="5B80713A" w:rsidR="00A65C14" w:rsidRPr="005F253B" w:rsidRDefault="0014684D" w:rsidP="008D6D90">
            <w:pPr>
              <w:spacing w:before="80" w:after="80"/>
              <w:rPr>
                <w:rFonts w:eastAsiaTheme="minorEastAsia"/>
                <w:lang w:val="en-US"/>
              </w:rPr>
            </w:pPr>
            <w:r w:rsidRPr="00612CFB">
              <w:rPr>
                <w:rFonts w:eastAsiaTheme="minorEastAsia"/>
                <w:lang w:val="en-US"/>
              </w:rPr>
              <w:t xml:space="preserve">The support is individual and confidential. </w:t>
            </w:r>
            <w:r w:rsidRPr="005F253B">
              <w:rPr>
                <w:rFonts w:eastAsiaTheme="minorEastAsia"/>
                <w:lang w:val="en-US"/>
              </w:rPr>
              <w:t>Therefore, registrations are conducted on an</w:t>
            </w:r>
            <w:r w:rsidR="005F253B" w:rsidRPr="005F253B">
              <w:rPr>
                <w:rFonts w:eastAsiaTheme="minorEastAsia"/>
                <w:lang w:val="en-US"/>
              </w:rPr>
              <w:t> </w:t>
            </w:r>
            <w:r w:rsidRPr="005F253B">
              <w:rPr>
                <w:rFonts w:eastAsiaTheme="minorEastAsia"/>
                <w:lang w:val="en-US"/>
              </w:rPr>
              <w:t>individual basis.</w:t>
            </w:r>
          </w:p>
        </w:tc>
      </w:tr>
      <w:tr w:rsidR="00A65C14" w:rsidRPr="00EE4DC1" w14:paraId="3CF027E5" w14:textId="77777777" w:rsidTr="00A65C14">
        <w:tc>
          <w:tcPr>
            <w:tcW w:w="3604" w:type="dxa"/>
          </w:tcPr>
          <w:p w14:paraId="6784A304" w14:textId="6E0E4EEE" w:rsidR="00A65C14" w:rsidRPr="0014684D" w:rsidRDefault="0014684D" w:rsidP="0014684D">
            <w:pPr>
              <w:spacing w:before="80" w:after="80" w:line="360" w:lineRule="auto"/>
              <w:jc w:val="center"/>
              <w:rPr>
                <w:rFonts w:eastAsiaTheme="minorEastAsia"/>
              </w:rPr>
            </w:pPr>
            <w:proofErr w:type="spellStart"/>
            <w:r w:rsidRPr="0014684D">
              <w:rPr>
                <w:rFonts w:eastAsiaTheme="minorEastAsia"/>
              </w:rPr>
              <w:t>Support</w:t>
            </w:r>
            <w:proofErr w:type="spellEnd"/>
            <w:r w:rsidRPr="0014684D">
              <w:rPr>
                <w:rFonts w:eastAsiaTheme="minorEastAsia"/>
              </w:rPr>
              <w:t xml:space="preserve"> </w:t>
            </w:r>
            <w:proofErr w:type="spellStart"/>
            <w:r w:rsidRPr="0014684D">
              <w:rPr>
                <w:rFonts w:eastAsiaTheme="minorEastAsia"/>
              </w:rPr>
              <w:t>groups</w:t>
            </w:r>
            <w:proofErr w:type="spellEnd"/>
            <w:r w:rsidRPr="0014684D">
              <w:rPr>
                <w:rFonts w:eastAsiaTheme="minorEastAsia"/>
              </w:rPr>
              <w:t xml:space="preserve"> in </w:t>
            </w:r>
            <w:proofErr w:type="spellStart"/>
            <w:r w:rsidRPr="0014684D">
              <w:rPr>
                <w:rFonts w:eastAsiaTheme="minorEastAsia"/>
              </w:rPr>
              <w:t>Polish</w:t>
            </w:r>
            <w:proofErr w:type="spellEnd"/>
          </w:p>
        </w:tc>
        <w:tc>
          <w:tcPr>
            <w:tcW w:w="3604" w:type="dxa"/>
          </w:tcPr>
          <w:p w14:paraId="666EB082" w14:textId="541823F7" w:rsidR="00A65C14" w:rsidRPr="00173997" w:rsidRDefault="0014684D" w:rsidP="0014684D">
            <w:pPr>
              <w:spacing w:before="80" w:after="80" w:line="360" w:lineRule="auto"/>
              <w:jc w:val="center"/>
              <w:rPr>
                <w:rFonts w:eastAsiaTheme="minorEastAsia"/>
                <w:lang w:val="en-US"/>
              </w:rPr>
            </w:pPr>
            <w:r w:rsidRPr="00173997">
              <w:rPr>
                <w:rFonts w:eastAsiaTheme="minorEastAsia"/>
                <w:lang w:val="en-US"/>
              </w:rPr>
              <w:t>240 clock hours</w:t>
            </w:r>
            <w:r w:rsidR="00173997" w:rsidRPr="00173997">
              <w:rPr>
                <w:rFonts w:eastAsiaTheme="minorEastAsia"/>
                <w:lang w:val="en-US"/>
              </w:rPr>
              <w:t xml:space="preserve"> (including</w:t>
            </w:r>
            <w:r w:rsidR="00173997">
              <w:rPr>
                <w:rFonts w:eastAsiaTheme="minorEastAsia"/>
                <w:lang w:val="en-US"/>
              </w:rPr>
              <w:t> </w:t>
            </w:r>
            <w:r w:rsidR="00173997" w:rsidRPr="00173997">
              <w:rPr>
                <w:rFonts w:eastAsiaTheme="minorEastAsia"/>
                <w:lang w:val="en-US"/>
              </w:rPr>
              <w:t>a</w:t>
            </w:r>
            <w:r w:rsidR="00173997">
              <w:rPr>
                <w:rFonts w:eastAsiaTheme="minorEastAsia"/>
                <w:lang w:val="en-US"/>
              </w:rPr>
              <w:t> </w:t>
            </w:r>
            <w:r w:rsidR="00173997" w:rsidRPr="00173997">
              <w:rPr>
                <w:rFonts w:eastAsiaTheme="minorEastAsia"/>
                <w:lang w:val="en-US"/>
              </w:rPr>
              <w:t>maximum of 6 clock hours per group, i.e., 6 clock hours per participant)</w:t>
            </w:r>
          </w:p>
        </w:tc>
        <w:tc>
          <w:tcPr>
            <w:tcW w:w="3605" w:type="dxa"/>
          </w:tcPr>
          <w:p w14:paraId="3F76662F" w14:textId="2ECF6D61" w:rsidR="00A65C14" w:rsidRPr="0014684D" w:rsidRDefault="003C01E2" w:rsidP="0014684D">
            <w:pPr>
              <w:spacing w:before="80" w:after="80" w:line="360" w:lineRule="auto"/>
              <w:jc w:val="center"/>
              <w:rPr>
                <w:rFonts w:eastAsiaTheme="minorEastAsia"/>
              </w:rPr>
            </w:pPr>
            <w:r>
              <w:rPr>
                <w:rFonts w:eastAsiaTheme="minorEastAsia"/>
              </w:rPr>
              <w:t>20.</w:t>
            </w:r>
            <w:r w:rsidR="0014684D" w:rsidRPr="004646F2">
              <w:rPr>
                <w:rFonts w:eastAsiaTheme="minorEastAsia"/>
              </w:rPr>
              <w:t>03.2026 – 28.02.2029</w:t>
            </w:r>
          </w:p>
        </w:tc>
        <w:tc>
          <w:tcPr>
            <w:tcW w:w="3605" w:type="dxa"/>
          </w:tcPr>
          <w:p w14:paraId="3C3AF5B0" w14:textId="2384809D" w:rsidR="00A65C14" w:rsidRPr="005F253B" w:rsidRDefault="0014684D" w:rsidP="008D6D90">
            <w:pPr>
              <w:spacing w:before="80" w:after="80"/>
              <w:rPr>
                <w:rFonts w:eastAsiaTheme="minorEastAsia"/>
                <w:lang w:val="en-US"/>
              </w:rPr>
            </w:pPr>
            <w:r w:rsidRPr="00612CFB">
              <w:rPr>
                <w:rFonts w:eastAsiaTheme="minorEastAsia"/>
                <w:lang w:val="en-US"/>
              </w:rPr>
              <w:t xml:space="preserve">The support is individual and confidential. </w:t>
            </w:r>
            <w:r w:rsidRPr="005F253B">
              <w:rPr>
                <w:rFonts w:eastAsiaTheme="minorEastAsia"/>
                <w:lang w:val="en-US"/>
              </w:rPr>
              <w:t>Therefore, registrations are conducted on an</w:t>
            </w:r>
            <w:r w:rsidR="005F253B" w:rsidRPr="005F253B">
              <w:rPr>
                <w:rFonts w:eastAsiaTheme="minorEastAsia"/>
                <w:lang w:val="en-US"/>
              </w:rPr>
              <w:t> </w:t>
            </w:r>
            <w:r w:rsidRPr="005F253B">
              <w:rPr>
                <w:rFonts w:eastAsiaTheme="minorEastAsia"/>
                <w:lang w:val="en-US"/>
              </w:rPr>
              <w:t>individual basis.</w:t>
            </w:r>
          </w:p>
        </w:tc>
      </w:tr>
      <w:tr w:rsidR="0014684D" w:rsidRPr="00EE4DC1" w14:paraId="464E9D91" w14:textId="77777777" w:rsidTr="00A65C14">
        <w:tc>
          <w:tcPr>
            <w:tcW w:w="3604" w:type="dxa"/>
          </w:tcPr>
          <w:p w14:paraId="7443D5C1" w14:textId="0BFA4992" w:rsidR="0014684D" w:rsidRPr="0014684D" w:rsidRDefault="0014684D" w:rsidP="0014684D">
            <w:pPr>
              <w:spacing w:before="80" w:after="80" w:line="360" w:lineRule="auto"/>
              <w:jc w:val="center"/>
              <w:rPr>
                <w:rFonts w:eastAsiaTheme="minorEastAsia"/>
              </w:rPr>
            </w:pPr>
            <w:proofErr w:type="spellStart"/>
            <w:r w:rsidRPr="0014684D">
              <w:rPr>
                <w:rFonts w:eastAsiaTheme="minorEastAsia"/>
              </w:rPr>
              <w:t>Support</w:t>
            </w:r>
            <w:proofErr w:type="spellEnd"/>
            <w:r w:rsidRPr="0014684D">
              <w:rPr>
                <w:rFonts w:eastAsiaTheme="minorEastAsia"/>
              </w:rPr>
              <w:t xml:space="preserve"> </w:t>
            </w:r>
            <w:proofErr w:type="spellStart"/>
            <w:r w:rsidRPr="0014684D">
              <w:rPr>
                <w:rFonts w:eastAsiaTheme="minorEastAsia"/>
              </w:rPr>
              <w:t>groups</w:t>
            </w:r>
            <w:proofErr w:type="spellEnd"/>
            <w:r w:rsidRPr="0014684D">
              <w:rPr>
                <w:rFonts w:eastAsiaTheme="minorEastAsia"/>
              </w:rPr>
              <w:t xml:space="preserve"> in English</w:t>
            </w:r>
          </w:p>
        </w:tc>
        <w:tc>
          <w:tcPr>
            <w:tcW w:w="3604" w:type="dxa"/>
          </w:tcPr>
          <w:p w14:paraId="696C466C" w14:textId="0CD171D4" w:rsidR="0014684D" w:rsidRPr="0014684D" w:rsidRDefault="0014684D" w:rsidP="0014684D">
            <w:pPr>
              <w:spacing w:before="80" w:after="80" w:line="360" w:lineRule="auto"/>
              <w:jc w:val="center"/>
              <w:rPr>
                <w:lang w:val="en-US"/>
              </w:rPr>
            </w:pPr>
            <w:r>
              <w:rPr>
                <w:lang w:val="en-US"/>
              </w:rPr>
              <w:t xml:space="preserve">120 </w:t>
            </w:r>
            <w:r w:rsidRPr="00173997">
              <w:rPr>
                <w:lang w:val="en-US"/>
              </w:rPr>
              <w:t>clock hours</w:t>
            </w:r>
            <w:r w:rsidR="00173997" w:rsidRPr="00173997">
              <w:rPr>
                <w:lang w:val="en-US"/>
              </w:rPr>
              <w:t xml:space="preserve"> </w:t>
            </w:r>
            <w:r w:rsidR="00173997" w:rsidRPr="00173997">
              <w:rPr>
                <w:rFonts w:eastAsiaTheme="minorEastAsia"/>
                <w:lang w:val="en-US"/>
              </w:rPr>
              <w:t>(including</w:t>
            </w:r>
            <w:r w:rsidR="00173997">
              <w:rPr>
                <w:rFonts w:eastAsiaTheme="minorEastAsia"/>
                <w:lang w:val="en-US"/>
              </w:rPr>
              <w:t> </w:t>
            </w:r>
            <w:r w:rsidR="00173997" w:rsidRPr="00173997">
              <w:rPr>
                <w:rFonts w:eastAsiaTheme="minorEastAsia"/>
                <w:lang w:val="en-US"/>
              </w:rPr>
              <w:t>a</w:t>
            </w:r>
            <w:r w:rsidR="00173997">
              <w:rPr>
                <w:rFonts w:eastAsiaTheme="minorEastAsia"/>
                <w:lang w:val="en-US"/>
              </w:rPr>
              <w:t> </w:t>
            </w:r>
            <w:r w:rsidR="00173997" w:rsidRPr="00173997">
              <w:rPr>
                <w:rFonts w:eastAsiaTheme="minorEastAsia"/>
                <w:lang w:val="en-US"/>
              </w:rPr>
              <w:t>maximum of 6 clock hours per group, i.e., 6 clock hours per participant)</w:t>
            </w:r>
          </w:p>
        </w:tc>
        <w:tc>
          <w:tcPr>
            <w:tcW w:w="3605" w:type="dxa"/>
          </w:tcPr>
          <w:p w14:paraId="79D67A11" w14:textId="241452B7" w:rsidR="0014684D" w:rsidRPr="0014684D" w:rsidRDefault="003C01E2" w:rsidP="0014684D">
            <w:pPr>
              <w:spacing w:before="80" w:after="80" w:line="360" w:lineRule="auto"/>
              <w:jc w:val="center"/>
              <w:rPr>
                <w:lang w:val="en-US"/>
              </w:rPr>
            </w:pPr>
            <w:r>
              <w:rPr>
                <w:rFonts w:eastAsiaTheme="minorEastAsia"/>
              </w:rPr>
              <w:t>20.</w:t>
            </w:r>
            <w:r w:rsidR="0014684D" w:rsidRPr="004646F2">
              <w:rPr>
                <w:rFonts w:eastAsiaTheme="minorEastAsia"/>
              </w:rPr>
              <w:t>03.2026 – 28.02.2029</w:t>
            </w:r>
          </w:p>
        </w:tc>
        <w:tc>
          <w:tcPr>
            <w:tcW w:w="3605" w:type="dxa"/>
          </w:tcPr>
          <w:p w14:paraId="3415E067" w14:textId="1095C0ED" w:rsidR="0014684D" w:rsidRPr="00E15322" w:rsidRDefault="0014684D" w:rsidP="008D6D90">
            <w:pPr>
              <w:spacing w:before="80" w:after="80"/>
              <w:rPr>
                <w:rFonts w:eastAsiaTheme="minorEastAsia"/>
                <w:lang w:val="en-US"/>
              </w:rPr>
            </w:pPr>
            <w:r w:rsidRPr="00612CFB">
              <w:rPr>
                <w:rFonts w:eastAsiaTheme="minorEastAsia"/>
                <w:lang w:val="en-US"/>
              </w:rPr>
              <w:t xml:space="preserve">The support is individual and confidential. </w:t>
            </w:r>
            <w:r w:rsidRPr="00E15322">
              <w:rPr>
                <w:rFonts w:eastAsiaTheme="minorEastAsia"/>
                <w:lang w:val="en-US"/>
              </w:rPr>
              <w:t>Therefore, registrations are conducted on an</w:t>
            </w:r>
            <w:r w:rsidR="005F253B" w:rsidRPr="00E15322">
              <w:rPr>
                <w:rFonts w:eastAsiaTheme="minorEastAsia"/>
                <w:lang w:val="en-US"/>
              </w:rPr>
              <w:t> </w:t>
            </w:r>
            <w:r w:rsidRPr="00E15322">
              <w:rPr>
                <w:rFonts w:eastAsiaTheme="minorEastAsia"/>
                <w:lang w:val="en-US"/>
              </w:rPr>
              <w:t>individual basis.</w:t>
            </w:r>
          </w:p>
        </w:tc>
      </w:tr>
    </w:tbl>
    <w:p w14:paraId="5F5C6106" w14:textId="77777777" w:rsidR="00A65C14" w:rsidRPr="0014684D" w:rsidRDefault="00A65C14" w:rsidP="00A65C14">
      <w:pPr>
        <w:rPr>
          <w:lang w:val="en-US"/>
        </w:rPr>
      </w:pPr>
    </w:p>
    <w:sectPr w:rsidR="00A65C14" w:rsidRPr="0014684D" w:rsidSect="008C06CB">
      <w:pgSz w:w="16838" w:h="11906" w:orient="landscape"/>
      <w:pgMar w:top="851" w:right="141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A416F"/>
    <w:multiLevelType w:val="hybridMultilevel"/>
    <w:tmpl w:val="C99AB3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24B1DE8"/>
    <w:multiLevelType w:val="hybridMultilevel"/>
    <w:tmpl w:val="15BEA0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3186524">
    <w:abstractNumId w:val="1"/>
  </w:num>
  <w:num w:numId="2" w16cid:durableId="102185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D1"/>
    <w:rsid w:val="00054133"/>
    <w:rsid w:val="000E3B6D"/>
    <w:rsid w:val="00104390"/>
    <w:rsid w:val="0014684D"/>
    <w:rsid w:val="00173997"/>
    <w:rsid w:val="00203B94"/>
    <w:rsid w:val="003C01E2"/>
    <w:rsid w:val="0044778D"/>
    <w:rsid w:val="004E1B17"/>
    <w:rsid w:val="00541A45"/>
    <w:rsid w:val="005F253B"/>
    <w:rsid w:val="00612098"/>
    <w:rsid w:val="00612CFB"/>
    <w:rsid w:val="00757E6C"/>
    <w:rsid w:val="007C7BC7"/>
    <w:rsid w:val="008C06CB"/>
    <w:rsid w:val="008D6D90"/>
    <w:rsid w:val="009222D1"/>
    <w:rsid w:val="009522CA"/>
    <w:rsid w:val="00A65C14"/>
    <w:rsid w:val="00AA60DF"/>
    <w:rsid w:val="00B07616"/>
    <w:rsid w:val="00B965B2"/>
    <w:rsid w:val="00E15322"/>
    <w:rsid w:val="00E9732E"/>
    <w:rsid w:val="00EE4DC1"/>
    <w:rsid w:val="00FB64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DE44"/>
  <w15:chartTrackingRefBased/>
  <w15:docId w15:val="{F0BEBC3B-7D9C-4CE7-B5FF-C6C0EDE0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uiPriority w:val="9"/>
    <w:qFormat/>
    <w:rsid w:val="00E15322"/>
    <w:pPr>
      <w:keepNext/>
      <w:keepLines/>
      <w:spacing w:before="240" w:after="240" w:line="240" w:lineRule="auto"/>
      <w:outlineLvl w:val="0"/>
    </w:pPr>
    <w:rPr>
      <w:rFonts w:eastAsiaTheme="majorEastAsia" w:cstheme="majorBidi"/>
      <w:sz w:val="30"/>
      <w:szCs w:val="32"/>
    </w:rPr>
  </w:style>
  <w:style w:type="paragraph" w:styleId="Nagwek2">
    <w:name w:val="heading 2"/>
    <w:basedOn w:val="Normalny"/>
    <w:next w:val="Normalny"/>
    <w:link w:val="Nagwek2Znak"/>
    <w:uiPriority w:val="9"/>
    <w:semiHidden/>
    <w:unhideWhenUsed/>
    <w:qFormat/>
    <w:rsid w:val="00922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222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222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9222D1"/>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9222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9222D1"/>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9222D1"/>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9222D1"/>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15322"/>
    <w:rPr>
      <w:rFonts w:eastAsiaTheme="majorEastAsia" w:cstheme="majorBidi"/>
      <w:sz w:val="30"/>
      <w:szCs w:val="32"/>
    </w:rPr>
  </w:style>
  <w:style w:type="character" w:customStyle="1" w:styleId="Nagwek2Znak">
    <w:name w:val="Nagłówek 2 Znak"/>
    <w:basedOn w:val="Domylnaczcionkaakapitu"/>
    <w:link w:val="Nagwek2"/>
    <w:uiPriority w:val="9"/>
    <w:semiHidden/>
    <w:rsid w:val="009222D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222D1"/>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222D1"/>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9222D1"/>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9222D1"/>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9222D1"/>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9222D1"/>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9222D1"/>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922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222D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222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222D1"/>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9222D1"/>
    <w:pPr>
      <w:spacing w:before="160"/>
      <w:jc w:val="center"/>
    </w:pPr>
    <w:rPr>
      <w:i/>
      <w:iCs/>
      <w:color w:val="404040" w:themeColor="text1" w:themeTint="BF"/>
    </w:rPr>
  </w:style>
  <w:style w:type="character" w:customStyle="1" w:styleId="CytatZnak">
    <w:name w:val="Cytat Znak"/>
    <w:basedOn w:val="Domylnaczcionkaakapitu"/>
    <w:link w:val="Cytat"/>
    <w:uiPriority w:val="29"/>
    <w:rsid w:val="009222D1"/>
    <w:rPr>
      <w:i/>
      <w:iCs/>
      <w:color w:val="404040" w:themeColor="text1" w:themeTint="BF"/>
    </w:rPr>
  </w:style>
  <w:style w:type="paragraph" w:styleId="Akapitzlist">
    <w:name w:val="List Paragraph"/>
    <w:basedOn w:val="Normalny"/>
    <w:uiPriority w:val="34"/>
    <w:qFormat/>
    <w:rsid w:val="009222D1"/>
    <w:pPr>
      <w:ind w:left="720"/>
      <w:contextualSpacing/>
    </w:pPr>
  </w:style>
  <w:style w:type="character" w:styleId="Wyrnienieintensywne">
    <w:name w:val="Intense Emphasis"/>
    <w:basedOn w:val="Domylnaczcionkaakapitu"/>
    <w:uiPriority w:val="21"/>
    <w:qFormat/>
    <w:rsid w:val="009222D1"/>
    <w:rPr>
      <w:i/>
      <w:iCs/>
      <w:color w:val="0F4761" w:themeColor="accent1" w:themeShade="BF"/>
    </w:rPr>
  </w:style>
  <w:style w:type="paragraph" w:styleId="Cytatintensywny">
    <w:name w:val="Intense Quote"/>
    <w:basedOn w:val="Normalny"/>
    <w:next w:val="Normalny"/>
    <w:link w:val="CytatintensywnyZnak"/>
    <w:uiPriority w:val="30"/>
    <w:qFormat/>
    <w:rsid w:val="00922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222D1"/>
    <w:rPr>
      <w:i/>
      <w:iCs/>
      <w:color w:val="0F4761" w:themeColor="accent1" w:themeShade="BF"/>
    </w:rPr>
  </w:style>
  <w:style w:type="character" w:styleId="Odwoanieintensywne">
    <w:name w:val="Intense Reference"/>
    <w:basedOn w:val="Domylnaczcionkaakapitu"/>
    <w:uiPriority w:val="32"/>
    <w:qFormat/>
    <w:rsid w:val="009222D1"/>
    <w:rPr>
      <w:b/>
      <w:bCs/>
      <w:smallCaps/>
      <w:color w:val="0F4761" w:themeColor="accent1" w:themeShade="BF"/>
      <w:spacing w:val="5"/>
    </w:rPr>
  </w:style>
  <w:style w:type="character" w:styleId="Hipercze">
    <w:name w:val="Hyperlink"/>
    <w:basedOn w:val="Domylnaczcionkaakapitu"/>
    <w:uiPriority w:val="99"/>
    <w:unhideWhenUsed/>
    <w:rsid w:val="009222D1"/>
    <w:rPr>
      <w:color w:val="467886" w:themeColor="hyperlink"/>
      <w:u w:val="single"/>
    </w:rPr>
  </w:style>
  <w:style w:type="character" w:styleId="Nierozpoznanawzmianka">
    <w:name w:val="Unresolved Mention"/>
    <w:basedOn w:val="Domylnaczcionkaakapitu"/>
    <w:uiPriority w:val="99"/>
    <w:semiHidden/>
    <w:unhideWhenUsed/>
    <w:rsid w:val="009222D1"/>
    <w:rPr>
      <w:color w:val="605E5C"/>
      <w:shd w:val="clear" w:color="auto" w:fill="E1DFDD"/>
    </w:rPr>
  </w:style>
  <w:style w:type="table" w:styleId="Tabela-Siatka">
    <w:name w:val="Table Grid"/>
    <w:basedOn w:val="Standardowy"/>
    <w:uiPriority w:val="39"/>
    <w:rsid w:val="00A65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757E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zja.pl/en/european-projects/improving-academic-efficiency-university-management-and-drop-out-reduc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jektyeuropejskie@vizja.pl" TargetMode="External"/><Relationship Id="rId12" Type="http://schemas.openxmlformats.org/officeDocument/2006/relationships/hyperlink" Target="https://vizja.pl/en/european-projects/improving-academic-efficiency-university-management-and-drop-out-redu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jektyeuropejskie@vizja.pl" TargetMode="External"/><Relationship Id="rId11" Type="http://schemas.openxmlformats.org/officeDocument/2006/relationships/hyperlink" Target="https://outlook.office.com/book/Grupywsparcia@vizja.pl/?ismsaljsauthenabled=true" TargetMode="External"/><Relationship Id="rId5" Type="http://schemas.openxmlformats.org/officeDocument/2006/relationships/image" Target="media/image1.jpeg"/><Relationship Id="rId10" Type="http://schemas.openxmlformats.org/officeDocument/2006/relationships/hyperlink" Target="https://outlook.office.com/book/Indywidualnesesjecoachingowe@vizja.pl/?ismsaljsauthenabled=true" TargetMode="External"/><Relationship Id="rId4" Type="http://schemas.openxmlformats.org/officeDocument/2006/relationships/webSettings" Target="webSettings.xml"/><Relationship Id="rId9" Type="http://schemas.openxmlformats.org/officeDocument/2006/relationships/hyperlink" Target="https://outlook.office.com/book/Indywidualnesesjepsychologicznewjzykupolskim@vizja.pl/?ismsaljsauthenabled=true"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656</Words>
  <Characters>3937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Viki Kuklińska</dc:creator>
  <cp:keywords/>
  <dc:description/>
  <cp:lastModifiedBy>Viki Kuklińska</cp:lastModifiedBy>
  <cp:revision>11</cp:revision>
  <dcterms:created xsi:type="dcterms:W3CDTF">2026-03-16T09:01:00Z</dcterms:created>
  <dcterms:modified xsi:type="dcterms:W3CDTF">2026-03-20T09:44:00Z</dcterms:modified>
</cp:coreProperties>
</file>