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5091229F" w:rsidR="004F3B3C" w:rsidRPr="00AE6553" w:rsidRDefault="004F3B3C" w:rsidP="004F3B3C">
      <w:pPr>
        <w:rPr>
          <w:lang w:val="pl-PL"/>
        </w:rPr>
      </w:pPr>
      <w:r w:rsidRPr="00AE6553">
        <w:rPr>
          <w:lang w:val="pl-PL"/>
        </w:rPr>
        <w:t xml:space="preserve">wersja </w:t>
      </w:r>
      <w:r w:rsidR="00BC2B75" w:rsidRPr="00AE6553">
        <w:rPr>
          <w:lang w:val="pl-PL"/>
        </w:rPr>
        <w:t xml:space="preserve">sylabusa </w:t>
      </w:r>
      <w:r w:rsidRPr="00AE6553">
        <w:rPr>
          <w:lang w:val="pl-PL"/>
        </w:rPr>
        <w:t>dostępna cyfrowo</w:t>
      </w:r>
    </w:p>
    <w:p w14:paraId="0129C6B1" w14:textId="77777777" w:rsidR="00E762F9" w:rsidRPr="00AE6553" w:rsidRDefault="00E762F9" w:rsidP="00E762F9">
      <w:pPr>
        <w:pStyle w:val="Nagwek1"/>
        <w:spacing w:after="0"/>
        <w:rPr>
          <w:lang w:val="pl-PL"/>
        </w:rPr>
      </w:pPr>
      <w:bookmarkStart w:id="0" w:name="_Hlk219026415"/>
      <w:r w:rsidRPr="00AE6553">
        <w:rPr>
          <w:lang w:val="pl-PL"/>
        </w:rPr>
        <w:t>Historia sztuki</w:t>
      </w:r>
    </w:p>
    <w:p w14:paraId="3AB8212F" w14:textId="6673903A" w:rsidR="00E762F9" w:rsidRPr="00AE6553" w:rsidRDefault="00BC2B75" w:rsidP="00E762F9">
      <w:pPr>
        <w:pStyle w:val="podtytul-h1"/>
      </w:pPr>
      <w:r w:rsidRPr="00AE6553">
        <w:t>History of art</w:t>
      </w:r>
    </w:p>
    <w:bookmarkEnd w:id="0"/>
    <w:p w14:paraId="2808A76D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Metryka przedmiotu</w:t>
      </w:r>
    </w:p>
    <w:p w14:paraId="6F0BD27E" w14:textId="77777777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Program studiów dla przedmiotu obowiązujący od cyklu kształcenia:</w:t>
      </w:r>
      <w:r w:rsidRPr="00AE6553">
        <w:rPr>
          <w:lang w:val="pl-PL"/>
        </w:rPr>
        <w:t xml:space="preserve"> 2025/2026</w:t>
      </w:r>
    </w:p>
    <w:p w14:paraId="33971A12" w14:textId="77777777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Kierunek studiów:</w:t>
      </w:r>
      <w:r w:rsidRPr="00AE6553">
        <w:rPr>
          <w:lang w:val="pl-PL"/>
        </w:rPr>
        <w:t xml:space="preserve"> Architektura wnętrz</w:t>
      </w:r>
    </w:p>
    <w:p w14:paraId="46CFE667" w14:textId="440BE2B6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Rok i semestr studiów:</w:t>
      </w:r>
      <w:r w:rsidRPr="00AE6553">
        <w:rPr>
          <w:lang w:val="pl-PL"/>
        </w:rPr>
        <w:t xml:space="preserve"> Rok </w:t>
      </w:r>
      <w:r w:rsidR="00BC2B75" w:rsidRPr="00AE6553">
        <w:rPr>
          <w:lang w:val="pl-PL"/>
        </w:rPr>
        <w:t>pierwszy</w:t>
      </w:r>
      <w:r w:rsidR="00EC4389" w:rsidRPr="00AE6553">
        <w:rPr>
          <w:lang w:val="pl-PL"/>
        </w:rPr>
        <w:t>,</w:t>
      </w:r>
      <w:r w:rsidRPr="00AE6553">
        <w:rPr>
          <w:lang w:val="pl-PL"/>
        </w:rPr>
        <w:t xml:space="preserve"> Semestr </w:t>
      </w:r>
      <w:r w:rsidR="00BC2B75" w:rsidRPr="00AE6553">
        <w:rPr>
          <w:lang w:val="pl-PL"/>
        </w:rPr>
        <w:t>pierwszy</w:t>
      </w:r>
    </w:p>
    <w:p w14:paraId="30C6CA4C" w14:textId="59BDEA2C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Poziom kształcenia:</w:t>
      </w:r>
      <w:r w:rsidRPr="00AE6553">
        <w:rPr>
          <w:lang w:val="pl-PL"/>
        </w:rPr>
        <w:t xml:space="preserve"> Studia </w:t>
      </w:r>
      <w:r w:rsidR="00BC2B75" w:rsidRPr="00AE6553">
        <w:rPr>
          <w:lang w:val="pl-PL"/>
        </w:rPr>
        <w:t>pierwszego</w:t>
      </w:r>
      <w:r w:rsidRPr="00AE6553">
        <w:rPr>
          <w:lang w:val="pl-PL"/>
        </w:rPr>
        <w:t xml:space="preserve"> stopnia</w:t>
      </w:r>
    </w:p>
    <w:p w14:paraId="554B8705" w14:textId="476A938B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Profil kształcenia na kierunku:</w:t>
      </w:r>
      <w:r w:rsidRPr="00AE6553">
        <w:rPr>
          <w:lang w:val="pl-PL"/>
        </w:rPr>
        <w:t xml:space="preserve"> </w:t>
      </w:r>
      <w:r w:rsidR="00BC2B75" w:rsidRPr="00AE6553">
        <w:rPr>
          <w:lang w:val="pl-PL"/>
        </w:rPr>
        <w:t>Ogólnoakademicki</w:t>
      </w:r>
    </w:p>
    <w:p w14:paraId="4D87BA9C" w14:textId="77777777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Moduł kształcenia dla przedmiotu:</w:t>
      </w:r>
      <w:r w:rsidRPr="00AE6553">
        <w:rPr>
          <w:lang w:val="pl-PL"/>
        </w:rPr>
        <w:t xml:space="preserve"> Kierunkowy</w:t>
      </w:r>
    </w:p>
    <w:p w14:paraId="6B0ECCCF" w14:textId="77777777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Nazwa specjalizacji</w:t>
      </w:r>
      <w:r w:rsidRPr="00AE6553">
        <w:rPr>
          <w:lang w:val="pl-PL"/>
        </w:rPr>
        <w:t xml:space="preserve"> (jeśli przedmiot specjalizacyjny)</w:t>
      </w:r>
      <w:r w:rsidRPr="00AE6553">
        <w:rPr>
          <w:b/>
          <w:lang w:val="pl-PL"/>
        </w:rPr>
        <w:t>:</w:t>
      </w:r>
      <w:r w:rsidRPr="00AE6553">
        <w:rPr>
          <w:lang w:val="pl-PL"/>
        </w:rPr>
        <w:t xml:space="preserve"> Nie dotyczy</w:t>
      </w:r>
    </w:p>
    <w:p w14:paraId="31D40EBF" w14:textId="77777777" w:rsidR="00C02347" w:rsidRPr="00AE6553" w:rsidRDefault="00C02347" w:rsidP="00C02347">
      <w:pPr>
        <w:rPr>
          <w:lang w:val="pl-PL"/>
        </w:rPr>
      </w:pPr>
      <w:r w:rsidRPr="00AE6553">
        <w:rPr>
          <w:b/>
          <w:lang w:val="pl-PL"/>
        </w:rPr>
        <w:t>Status przedmiotu</w:t>
      </w:r>
      <w:r w:rsidRPr="00AE6553">
        <w:rPr>
          <w:lang w:val="pl-PL"/>
        </w:rPr>
        <w:t>: Obligatoryjny</w:t>
      </w:r>
    </w:p>
    <w:p w14:paraId="2F467E71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Liczba godzin</w:t>
      </w:r>
    </w:p>
    <w:p w14:paraId="3E6D92B6" w14:textId="7559E979" w:rsidR="00C02347" w:rsidRPr="00AE6553" w:rsidRDefault="00C02347" w:rsidP="00C02347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1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AE6553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AE6553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AE6553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AE6553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AE6553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AE6553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AE6553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AE6553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AE6553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AE6553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644D16B0" w:rsidR="00C02347" w:rsidRPr="00AE6553" w:rsidRDefault="00BC2B75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AE6553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7D9147D7" w:rsidR="00C02347" w:rsidRPr="00AE6553" w:rsidRDefault="00BC2B75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AE6553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AE6553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039C50A7" w:rsidR="00C02347" w:rsidRPr="00AE6553" w:rsidRDefault="00BC2B75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7</w:t>
            </w:r>
            <w:r w:rsidR="00C02347" w:rsidRPr="00AE6553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4DC32B09" w:rsidR="00C02347" w:rsidRPr="00AE6553" w:rsidRDefault="00BC2B75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84</w:t>
            </w:r>
          </w:p>
        </w:tc>
      </w:tr>
      <w:tr w:rsidR="00C02347" w:rsidRPr="00AE6553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AE6553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7777777" w:rsidR="00C02347" w:rsidRPr="00AE6553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  <w:tc>
          <w:tcPr>
            <w:tcW w:w="1596" w:type="pct"/>
            <w:vAlign w:val="center"/>
          </w:tcPr>
          <w:p w14:paraId="1AAEDD9C" w14:textId="77777777" w:rsidR="00C02347" w:rsidRPr="00AE6553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</w:tr>
    </w:tbl>
    <w:p w14:paraId="5D2BEC2E" w14:textId="77777777" w:rsidR="006066E1" w:rsidRPr="00AE6553" w:rsidRDefault="006066E1" w:rsidP="006066E1">
      <w:pPr>
        <w:pStyle w:val="Nagwek2"/>
        <w:rPr>
          <w:lang w:val="pl-PL"/>
        </w:rPr>
      </w:pPr>
      <w:r w:rsidRPr="00AE6553">
        <w:rPr>
          <w:lang w:val="pl-PL"/>
        </w:rPr>
        <w:t>Liczba punktów ECTS</w:t>
      </w:r>
    </w:p>
    <w:p w14:paraId="791081D1" w14:textId="386715B5" w:rsidR="006066E1" w:rsidRPr="00AE6553" w:rsidRDefault="00BC2B75" w:rsidP="006066E1">
      <w:pPr>
        <w:rPr>
          <w:lang w:val="pl-PL"/>
        </w:rPr>
      </w:pPr>
      <w:r w:rsidRPr="00AE6553">
        <w:rPr>
          <w:lang w:val="pl-PL"/>
        </w:rPr>
        <w:t>4</w:t>
      </w:r>
      <w:r w:rsidR="006066E1" w:rsidRPr="00AE6553">
        <w:rPr>
          <w:lang w:val="pl-PL"/>
        </w:rPr>
        <w:t xml:space="preserve"> punkt</w:t>
      </w:r>
      <w:r w:rsidRPr="00AE6553">
        <w:rPr>
          <w:lang w:val="pl-PL"/>
        </w:rPr>
        <w:t>y</w:t>
      </w:r>
      <w:r w:rsidR="006066E1" w:rsidRPr="00AE6553">
        <w:rPr>
          <w:lang w:val="pl-PL"/>
        </w:rPr>
        <w:t xml:space="preserve"> ECTS</w:t>
      </w:r>
    </w:p>
    <w:p w14:paraId="43C233A5" w14:textId="56133441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Forma zaliczenia</w:t>
      </w:r>
    </w:p>
    <w:p w14:paraId="0C4428B8" w14:textId="5087E266" w:rsidR="00C02347" w:rsidRPr="00AE6553" w:rsidRDefault="00C02347" w:rsidP="00C02347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2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AE6553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AE6553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AE6553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AE6553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AE6553" w14:paraId="567F52C0" w14:textId="77777777" w:rsidTr="0092741A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AE6553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AE6553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2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AE6553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AE6553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2" w:displacedByCustomXml="prev"/>
        </w:tc>
      </w:tr>
    </w:tbl>
    <w:p w14:paraId="584A184B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Wymagania wstępne</w:t>
      </w:r>
    </w:p>
    <w:p w14:paraId="2D92EC62" w14:textId="46148E77" w:rsidR="00C02347" w:rsidRPr="00AE6553" w:rsidRDefault="00C02347" w:rsidP="00C02347">
      <w:pPr>
        <w:tabs>
          <w:tab w:val="left" w:pos="6315"/>
        </w:tabs>
        <w:rPr>
          <w:lang w:val="pl-PL"/>
        </w:rPr>
      </w:pPr>
      <w:r w:rsidRPr="00AE6553">
        <w:rPr>
          <w:lang w:val="pl-PL"/>
        </w:rPr>
        <w:t>Brak wymagań wstępnych</w:t>
      </w:r>
      <w:r w:rsidR="0001760B">
        <w:rPr>
          <w:lang w:val="pl-PL"/>
        </w:rPr>
        <w:t xml:space="preserve"> </w:t>
      </w:r>
      <w:r w:rsidR="0001760B">
        <w:rPr>
          <w:lang w:val="pl-PL"/>
        </w:rPr>
        <w:t>wynikających z następstwa przedmiotów</w:t>
      </w:r>
      <w:bookmarkStart w:id="3" w:name="_GoBack"/>
      <w:bookmarkEnd w:id="3"/>
      <w:r w:rsidRPr="00AE6553">
        <w:rPr>
          <w:lang w:val="pl-PL"/>
        </w:rPr>
        <w:t>.</w:t>
      </w:r>
    </w:p>
    <w:p w14:paraId="78833E18" w14:textId="77777777" w:rsidR="00C02347" w:rsidRPr="00AE6553" w:rsidRDefault="00C02347" w:rsidP="00DC6302">
      <w:pPr>
        <w:pStyle w:val="Nagwek2"/>
        <w:rPr>
          <w:lang w:val="pl-PL"/>
        </w:rPr>
      </w:pPr>
      <w:r w:rsidRPr="00AE6553">
        <w:rPr>
          <w:lang w:val="pl-PL"/>
        </w:rPr>
        <w:lastRenderedPageBreak/>
        <w:t>Cele kształcenia przedmiotu</w:t>
      </w:r>
    </w:p>
    <w:p w14:paraId="7F2CED58" w14:textId="77777777" w:rsidR="00BC2B75" w:rsidRPr="00AE6553" w:rsidRDefault="00BC2B75" w:rsidP="00BC2B75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AE6553">
        <w:rPr>
          <w:lang w:val="pl-PL"/>
        </w:rPr>
        <w:t>Zdobienie wiedzy na temat chronologicznego rozwoju sztuki europejskiej i pozaeuropejskiej od czasów prehistorycznych do końca XVII wieku.</w:t>
      </w:r>
    </w:p>
    <w:p w14:paraId="799A3580" w14:textId="77777777" w:rsidR="00BC2B75" w:rsidRPr="00AE6553" w:rsidRDefault="00BC2B75" w:rsidP="00BC2B75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AE6553">
        <w:rPr>
          <w:lang w:val="pl-PL"/>
        </w:rPr>
        <w:t>Wykształcenie umiejętności rozpoznawania i analizowania cech stylowych architektury, rzeźby i malarstwa poszczególnych epok.</w:t>
      </w:r>
    </w:p>
    <w:p w14:paraId="03EA2AF1" w14:textId="2C0360B8" w:rsidR="00C02347" w:rsidRPr="00AE6553" w:rsidRDefault="00BC2B75" w:rsidP="00BC2B75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AE6553">
        <w:rPr>
          <w:lang w:val="pl-PL"/>
        </w:rPr>
        <w:t>Zrozumienie zależności między sztuką a kontekstem historycznym, religijnym i społecznym danej epoki.</w:t>
      </w:r>
    </w:p>
    <w:p w14:paraId="497E04CA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Efekty uczenia się</w:t>
      </w:r>
    </w:p>
    <w:p w14:paraId="124B1E75" w14:textId="77777777" w:rsidR="00DC6302" w:rsidRPr="00AE6553" w:rsidRDefault="00DC6302" w:rsidP="00DC6302">
      <w:pPr>
        <w:pStyle w:val="Nagwek3"/>
        <w:spacing w:before="120"/>
        <w:rPr>
          <w:lang w:val="pl-PL"/>
        </w:rPr>
      </w:pPr>
      <w:bookmarkStart w:id="4" w:name="_Hlk218767006"/>
      <w:r w:rsidRPr="00AE6553">
        <w:rPr>
          <w:lang w:val="pl-PL"/>
        </w:rPr>
        <w:t>Wiedza</w:t>
      </w:r>
    </w:p>
    <w:bookmarkEnd w:id="4"/>
    <w:p w14:paraId="028A9DCA" w14:textId="01CDE381" w:rsidR="00C02347" w:rsidRPr="00AE6553" w:rsidRDefault="00C02347" w:rsidP="00C02347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3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AE6553" w14:paraId="2A8B9CC9" w14:textId="77777777" w:rsidTr="00BC2B7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AE6553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AE6553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AE6553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AE6553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BC2B75" w:rsidRPr="00AE6553" w14:paraId="5B5D042D" w14:textId="77777777" w:rsidTr="00BC2B75">
        <w:tc>
          <w:tcPr>
            <w:tcW w:w="562" w:type="dxa"/>
            <w:vAlign w:val="center"/>
          </w:tcPr>
          <w:p w14:paraId="490AA648" w14:textId="77777777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6887DB9A" w:rsidR="00BC2B75" w:rsidRPr="00AE6553" w:rsidRDefault="00BC2B75" w:rsidP="00BC2B75">
            <w:pPr>
              <w:widowControl w:val="0"/>
              <w:spacing w:before="60" w:after="60" w:line="240" w:lineRule="auto"/>
              <w:ind w:left="110" w:right="249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Zna w stopniu zaawansowanym główne style, linie rozwojowe i tendencje w historii sztuki, architekturze i wzornictwie ma orientację w piśmiennictwie związanym z tymi zagadnieniami</w:t>
            </w:r>
          </w:p>
        </w:tc>
        <w:tc>
          <w:tcPr>
            <w:tcW w:w="1559" w:type="dxa"/>
            <w:vAlign w:val="center"/>
          </w:tcPr>
          <w:p w14:paraId="1C3720F2" w14:textId="6AEBF8C1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AW_WG08</w:t>
            </w:r>
          </w:p>
        </w:tc>
        <w:tc>
          <w:tcPr>
            <w:tcW w:w="2551" w:type="dxa"/>
            <w:vAlign w:val="center"/>
          </w:tcPr>
          <w:p w14:paraId="4F4E7721" w14:textId="77777777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7BED582F" w14:textId="28914ABC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BC2B75" w:rsidRPr="00AE6553" w14:paraId="1630D811" w14:textId="77777777" w:rsidTr="00BC2B75">
        <w:tc>
          <w:tcPr>
            <w:tcW w:w="562" w:type="dxa"/>
            <w:vAlign w:val="center"/>
          </w:tcPr>
          <w:p w14:paraId="005A970B" w14:textId="79743432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6975D561" w:rsidR="00BC2B75" w:rsidRPr="00AE6553" w:rsidRDefault="00BC2B75" w:rsidP="00BC2B75">
            <w:pPr>
              <w:widowControl w:val="0"/>
              <w:spacing w:before="60" w:after="60" w:line="240" w:lineRule="auto"/>
              <w:ind w:left="110" w:right="249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Ma zaawansowaną wiedzę z obszaru nauk humanistycznych i społecznych, rozumie interdyscyplinarny charakter tej wiedzy oraz powiązania z innymi dyscyplinami nauki i sztuki, zna możliwości praktycznych zastosowań tej wiedzy. Student rozumie interdyscyplinarny charakter wiedzy o sztuce, powiązując zjawiska artystyczne z tłem filozoficznym i społecznym epoki</w:t>
            </w:r>
          </w:p>
        </w:tc>
        <w:tc>
          <w:tcPr>
            <w:tcW w:w="1559" w:type="dxa"/>
            <w:vAlign w:val="center"/>
          </w:tcPr>
          <w:p w14:paraId="644EBECC" w14:textId="6285D6EF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4840E3FF" w14:textId="77777777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3BFA8E46" w14:textId="6216E975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4D38F383" w14:textId="77777777" w:rsidR="00DC6302" w:rsidRPr="00AE6553" w:rsidRDefault="00DC6302" w:rsidP="00DC6302">
      <w:pPr>
        <w:pStyle w:val="Nagwek3"/>
        <w:rPr>
          <w:lang w:val="pl-PL"/>
        </w:rPr>
      </w:pPr>
      <w:bookmarkStart w:id="5" w:name="_Hlk218767112"/>
      <w:r w:rsidRPr="00AE6553">
        <w:rPr>
          <w:lang w:val="pl-PL"/>
        </w:rPr>
        <w:t>Umiejętności</w:t>
      </w:r>
    </w:p>
    <w:bookmarkEnd w:id="5"/>
    <w:p w14:paraId="1A760AFE" w14:textId="35990292" w:rsidR="00C02347" w:rsidRPr="00AE6553" w:rsidRDefault="00C02347" w:rsidP="00DC6302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4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AE6553" w14:paraId="0EE5369D" w14:textId="77777777" w:rsidTr="00BC2B7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AE6553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AE6553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AE6553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AE6553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BC2B75" w:rsidRPr="00AE6553" w14:paraId="145604BE" w14:textId="77777777" w:rsidTr="00BC2B75">
        <w:tc>
          <w:tcPr>
            <w:tcW w:w="562" w:type="dxa"/>
            <w:vAlign w:val="center"/>
          </w:tcPr>
          <w:p w14:paraId="0A6CEE65" w14:textId="77777777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50C0702" w:rsidR="00BC2B75" w:rsidRPr="00AE6553" w:rsidRDefault="00BC2B75" w:rsidP="00BC2B75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Potrafi powiązać zagadnienia użytkowe, techniczne i estetyczne z uwarunkowaniami historycznymi, kulturowymi i społecznymi</w:t>
            </w:r>
          </w:p>
        </w:tc>
        <w:tc>
          <w:tcPr>
            <w:tcW w:w="1560" w:type="dxa"/>
            <w:vAlign w:val="center"/>
          </w:tcPr>
          <w:p w14:paraId="17A36E66" w14:textId="74CF4052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AW_UW07</w:t>
            </w:r>
          </w:p>
        </w:tc>
        <w:tc>
          <w:tcPr>
            <w:tcW w:w="2552" w:type="dxa"/>
            <w:vAlign w:val="center"/>
          </w:tcPr>
          <w:p w14:paraId="421C5C93" w14:textId="77777777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641BAA02" w14:textId="3DA8C185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BC2B75" w:rsidRPr="00AE6553" w14:paraId="3621BD52" w14:textId="77777777" w:rsidTr="00BC2B75">
        <w:tc>
          <w:tcPr>
            <w:tcW w:w="562" w:type="dxa"/>
            <w:vAlign w:val="center"/>
          </w:tcPr>
          <w:p w14:paraId="739E7F63" w14:textId="6D596C8D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250C22DE" w:rsidR="00BC2B75" w:rsidRPr="00AE6553" w:rsidRDefault="00BC2B75" w:rsidP="00BC2B75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Potrafi wykorzystać posiadaną wiedzę do przygotowania prac pisemnych i wystąpień ustnych, dotyczących wybranych zagadnień z zakresu architektury wnętrz, wzornictwa i sztuki opartych na podstawowych koncepcjach teoretycznych i analizie odpowiednio dobranych źródeł. Student potrafi wykorzystać literaturę przedmiotu i źródła ikonograficzne do przygotowania wypowiedzi ustnej lub pisemnej na temat wybranego zagadnienia z historii sztuki</w:t>
            </w:r>
          </w:p>
        </w:tc>
        <w:tc>
          <w:tcPr>
            <w:tcW w:w="1560" w:type="dxa"/>
            <w:vAlign w:val="center"/>
          </w:tcPr>
          <w:p w14:paraId="207F4B83" w14:textId="2D17C843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19C7CCC6" w14:textId="77777777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4E8096B0" w14:textId="513811C2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40EDF748" w14:textId="77777777" w:rsidR="00DC6302" w:rsidRPr="00AE6553" w:rsidRDefault="00DC6302" w:rsidP="00DC6302">
      <w:pPr>
        <w:pStyle w:val="Nagwek3"/>
        <w:rPr>
          <w:lang w:val="pl-PL"/>
        </w:rPr>
      </w:pPr>
      <w:bookmarkStart w:id="6" w:name="_Hlk218767148"/>
      <w:r w:rsidRPr="00AE6553">
        <w:rPr>
          <w:lang w:val="pl-PL"/>
        </w:rPr>
        <w:lastRenderedPageBreak/>
        <w:t>Kompetencje społeczne</w:t>
      </w:r>
    </w:p>
    <w:bookmarkEnd w:id="6"/>
    <w:p w14:paraId="4300A3B9" w14:textId="529276ED" w:rsidR="00C02347" w:rsidRPr="00AE6553" w:rsidRDefault="00C02347" w:rsidP="00DC6302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5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Efekty uczenia się w zakresie </w:t>
      </w:r>
      <w:r w:rsidR="00DC6302" w:rsidRPr="00AE6553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AE6553" w14:paraId="484CBB21" w14:textId="77777777" w:rsidTr="00BC2B7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AE6553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AE6553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AE6553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AE6553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BC2B75" w:rsidRPr="00AE6553" w14:paraId="0ABA5902" w14:textId="77777777" w:rsidTr="00BC2B75">
        <w:tc>
          <w:tcPr>
            <w:tcW w:w="562" w:type="dxa"/>
            <w:vAlign w:val="center"/>
          </w:tcPr>
          <w:p w14:paraId="42B3C2E2" w14:textId="77777777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2100E5CD" w:rsidR="00BC2B75" w:rsidRPr="00AE6553" w:rsidRDefault="00BC2B75" w:rsidP="00BC2B75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Jest gotów do inicjowania działalności i realizacji projektów z obszaru architektury wnętrz na rzecz interesu publicznego oraz integracji z innymi osobami w ramach różnych przedsięwzięć kulturalnych i artystycznych, wykazując się wrażliwością na potrzeby użytkownika przestrzeni architektonicznej</w:t>
            </w:r>
          </w:p>
        </w:tc>
        <w:tc>
          <w:tcPr>
            <w:tcW w:w="1559" w:type="dxa"/>
            <w:vAlign w:val="center"/>
          </w:tcPr>
          <w:p w14:paraId="13EBBA0C" w14:textId="4F29F68F" w:rsidR="00BC2B75" w:rsidRPr="00AE6553" w:rsidRDefault="00BC2B75" w:rsidP="00BC2B7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554D1F65" w14:textId="5E46D247" w:rsidR="00BC2B75" w:rsidRPr="00AE6553" w:rsidRDefault="00BC2B75" w:rsidP="00BC2B7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64D8F10A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Treści kształcenia</w:t>
      </w:r>
    </w:p>
    <w:p w14:paraId="0EC6C49A" w14:textId="71574FC8" w:rsidR="00BC2B75" w:rsidRPr="00AE6553" w:rsidRDefault="00BC2B75" w:rsidP="00BC2B75">
      <w:pPr>
        <w:pStyle w:val="Legenda"/>
        <w:keepNext/>
        <w:rPr>
          <w:lang w:val="pl-PL"/>
        </w:rPr>
      </w:pPr>
      <w:bookmarkStart w:id="7" w:name="_Hlk81320153"/>
      <w:bookmarkStart w:id="8" w:name="_Hlk214631561"/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6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BC2B75" w:rsidRPr="00AE6553" w14:paraId="0674B9FC" w14:textId="77777777" w:rsidTr="00AE6553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7A7111BF" w14:textId="77777777" w:rsidR="00BC2B75" w:rsidRPr="00AE6553" w:rsidRDefault="00BC2B75" w:rsidP="00344025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5EC2C95E" w14:textId="77777777" w:rsidR="00BC2B75" w:rsidRPr="00AE6553" w:rsidRDefault="00BC2B75" w:rsidP="0034402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71B3F416" w14:textId="77777777" w:rsidR="00BC2B75" w:rsidRPr="00AE6553" w:rsidRDefault="00BC2B75" w:rsidP="00344025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1FA7E123" w14:textId="77777777" w:rsidR="00BC2B75" w:rsidRPr="00AE6553" w:rsidRDefault="00BC2B75" w:rsidP="00344025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BC2B75" w:rsidRPr="00AE6553" w14:paraId="45DDC3E5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470FA9D9" w14:textId="77777777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3EF3D79A" w14:textId="6B5BF22C" w:rsidR="00BC2B75" w:rsidRPr="00AE6553" w:rsidRDefault="00BC2B75" w:rsidP="00BC2B7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Sztuka pradziejowa i neolityczna: malarstwo jaskiniowe, rzeźba paleolityczna (Wenus), megality, religijna i symboliczna funkcja sztuki</w:t>
            </w:r>
          </w:p>
        </w:tc>
        <w:tc>
          <w:tcPr>
            <w:tcW w:w="979" w:type="pct"/>
            <w:vAlign w:val="center"/>
          </w:tcPr>
          <w:p w14:paraId="2BA30CC2" w14:textId="4166735A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292D31D7" w14:textId="126416CB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</w:tr>
      <w:tr w:rsidR="00BC2B75" w:rsidRPr="00AE6553" w14:paraId="5DC4B9F8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67B10A45" w14:textId="77777777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0DE3F05B" w14:textId="24CB2E15" w:rsidR="00BC2B75" w:rsidRPr="00AE6553" w:rsidRDefault="00BC2B75" w:rsidP="00BC2B7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Mezopotamia, sztuka sumeryjska i babilońska: kanon, architektura monumentalna, rzeźba architektoniczna, znaczenie symboliki i religii. Egipt: monumentalizm, przestrzeń, propaganda, symbolika</w:t>
            </w:r>
          </w:p>
        </w:tc>
        <w:tc>
          <w:tcPr>
            <w:tcW w:w="979" w:type="pct"/>
            <w:vAlign w:val="center"/>
          </w:tcPr>
          <w:p w14:paraId="7C888D20" w14:textId="21B3A84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1D9AFC10" w14:textId="044BA50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</w:tr>
      <w:tr w:rsidR="00BC2B75" w:rsidRPr="00AE6553" w14:paraId="465774B1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5F1F35DC" w14:textId="77777777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4B621FCC" w14:textId="46B82150" w:rsidR="00BC2B75" w:rsidRPr="00AE6553" w:rsidRDefault="00BC2B75" w:rsidP="00BC2B7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Grecja: sztuka minojska i mykeńska,  porządki architektoniczne, ewolucja rzeźby i architektury od okresu archaicznego po hellenizm, kanon Polikleta</w:t>
            </w:r>
          </w:p>
        </w:tc>
        <w:tc>
          <w:tcPr>
            <w:tcW w:w="979" w:type="pct"/>
            <w:vAlign w:val="center"/>
          </w:tcPr>
          <w:p w14:paraId="0E6ABE03" w14:textId="51E66342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300837F5" w14:textId="0E7AACBA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</w:tr>
      <w:tr w:rsidR="00BC2B75" w:rsidRPr="00AE6553" w14:paraId="487C49E3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2424771B" w14:textId="77777777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25FA0141" w14:textId="13411591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Sztuka Rzymu: inżynieria i urbanistyka, nowe elementy konstrukcyjne (łuk, sklepienie, kopuła), sztuka publiczna, monumentalizm, splendor, pragmatyzm, realizm portretowy, malarstwo pompejańskie. Recepcja architektury i rzeźby klasycznej</w:t>
            </w:r>
          </w:p>
        </w:tc>
        <w:tc>
          <w:tcPr>
            <w:tcW w:w="979" w:type="pct"/>
            <w:vAlign w:val="center"/>
          </w:tcPr>
          <w:p w14:paraId="030EE82B" w14:textId="42E525C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6DED6D05" w14:textId="6BE735C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3DFEAF91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76960EAC" w14:textId="29EE39C4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75BDE693" w14:textId="20E2CAFD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Sztuka wczesnochrześcijańska i bizantyjska: idea, funkcje, program ikonograficzny, symbolika, mozaika, ikona, bazylika a założenia centralne</w:t>
            </w:r>
          </w:p>
        </w:tc>
        <w:tc>
          <w:tcPr>
            <w:tcW w:w="979" w:type="pct"/>
            <w:vAlign w:val="center"/>
          </w:tcPr>
          <w:p w14:paraId="11438C9E" w14:textId="4DA89CAC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7763C93" w14:textId="588F4FD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30205E8F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0BE1F982" w14:textId="332AD9BD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772D9816" w14:textId="379205FB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Sztuka romańska: znaczenie techniki budowlanej, architektura obronna i sakralna, rzeźba portalowa, malarstwo ścienne</w:t>
            </w:r>
          </w:p>
        </w:tc>
        <w:tc>
          <w:tcPr>
            <w:tcW w:w="979" w:type="pct"/>
            <w:vAlign w:val="center"/>
          </w:tcPr>
          <w:p w14:paraId="2B30761C" w14:textId="798B31E6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D2FDC38" w14:textId="6C064AC0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4B050889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6189E4DB" w14:textId="0DEFF0B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21D889E" w14:textId="77FC3F41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Gotyk – architektura (katedry, rola światła, witraż, odmiany regionalne gotyku) i  sztuki plastyczne (rzeźba architektoniczna, malarstwo tablicowe)</w:t>
            </w:r>
          </w:p>
        </w:tc>
        <w:tc>
          <w:tcPr>
            <w:tcW w:w="979" w:type="pct"/>
            <w:vAlign w:val="center"/>
          </w:tcPr>
          <w:p w14:paraId="420ECDD2" w14:textId="5445BA64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CFAC283" w14:textId="120C7D60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0B8EE014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51D0A472" w14:textId="48F27A24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4C419396" w14:textId="23138EFC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Renesans we Włoszech: Florencja i Rzym, antropocentryzm,  perspektywa linearna, powrót do antyku, naukowe podstawy sztuki, twórczość mistrzów (Leonardo, Michał Anioł, Rafael)</w:t>
            </w:r>
          </w:p>
        </w:tc>
        <w:tc>
          <w:tcPr>
            <w:tcW w:w="979" w:type="pct"/>
            <w:vAlign w:val="center"/>
          </w:tcPr>
          <w:p w14:paraId="0AC7CA18" w14:textId="216624B2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DA0C413" w14:textId="669A85D2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3C0E5F4E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6D245086" w14:textId="194492DE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25321F7D" w14:textId="510CBC3A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Manieryzm: kontynuacja i zaprzeczenie, architektura, malarstwo, rzeźba</w:t>
            </w:r>
          </w:p>
        </w:tc>
        <w:tc>
          <w:tcPr>
            <w:tcW w:w="979" w:type="pct"/>
            <w:vAlign w:val="center"/>
          </w:tcPr>
          <w:p w14:paraId="0EEECD2A" w14:textId="709DEF55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A41740F" w14:textId="75F39027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39509750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49D48968" w14:textId="3523958B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79A82D80" w14:textId="40612274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Architektura nowożytna: założenia pałacowe, wille, urbanistyka miast idealnych</w:t>
            </w:r>
          </w:p>
        </w:tc>
        <w:tc>
          <w:tcPr>
            <w:tcW w:w="979" w:type="pct"/>
            <w:vAlign w:val="center"/>
          </w:tcPr>
          <w:p w14:paraId="43E675B8" w14:textId="1A619855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B3EF52C" w14:textId="2D1DA416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620CC506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675E2C84" w14:textId="1ED5EB05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22DEBFF6" w14:textId="652CA41A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Barok – architektura i urbanistyka: emocja, teatralność, dynamizm, iluzjonizm, dramaturgia przestrzeni sakralnej i świeckiej. Sztuka jako narzędzie propagandy</w:t>
            </w:r>
          </w:p>
        </w:tc>
        <w:tc>
          <w:tcPr>
            <w:tcW w:w="979" w:type="pct"/>
            <w:vAlign w:val="center"/>
          </w:tcPr>
          <w:p w14:paraId="56770B72" w14:textId="7CA0578D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FFEEE67" w14:textId="2E4BC1D2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44596882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073B9CE8" w14:textId="6AC2F369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lastRenderedPageBreak/>
              <w:t>12</w:t>
            </w:r>
          </w:p>
        </w:tc>
        <w:tc>
          <w:tcPr>
            <w:tcW w:w="2773" w:type="pct"/>
            <w:vAlign w:val="center"/>
          </w:tcPr>
          <w:p w14:paraId="14FF2196" w14:textId="2B576A09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 xml:space="preserve">Malarstwo barokowe: rola światłocienia (Caravaggio, Rembrandt), kompozycja otwarta, tematyka religijna i rodzajowa. </w:t>
            </w:r>
          </w:p>
        </w:tc>
        <w:tc>
          <w:tcPr>
            <w:tcW w:w="979" w:type="pct"/>
            <w:vAlign w:val="center"/>
          </w:tcPr>
          <w:p w14:paraId="1AB83EE7" w14:textId="538B9F74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951DB5E" w14:textId="2E710A38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3342EF97" w14:textId="77777777" w:rsidTr="00AE6553">
        <w:trPr>
          <w:trHeight w:val="273"/>
        </w:trPr>
        <w:tc>
          <w:tcPr>
            <w:tcW w:w="268" w:type="pct"/>
            <w:vAlign w:val="center"/>
          </w:tcPr>
          <w:p w14:paraId="1297E94C" w14:textId="44F8C9DE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68DDD09D" w14:textId="41A1E175" w:rsidR="00BC2B75" w:rsidRPr="00AE6553" w:rsidRDefault="00BC2B75" w:rsidP="00BC2B7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Rzeźba barokowa: ekspresja, „utrwalony ruch” (Bernini), integracja rzeźby z architekturą, rola materiału. Rokoko</w:t>
            </w:r>
          </w:p>
        </w:tc>
        <w:tc>
          <w:tcPr>
            <w:tcW w:w="979" w:type="pct"/>
            <w:vAlign w:val="center"/>
          </w:tcPr>
          <w:p w14:paraId="2099063B" w14:textId="7A531A8B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990CE31" w14:textId="612E4CEA" w:rsidR="00BC2B75" w:rsidRPr="00AE6553" w:rsidRDefault="00BC2B75" w:rsidP="00BC2B7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</w:t>
            </w:r>
          </w:p>
        </w:tc>
      </w:tr>
      <w:tr w:rsidR="00BC2B75" w:rsidRPr="00AE6553" w14:paraId="627185D0" w14:textId="77777777" w:rsidTr="00AE6553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632B579D" w14:textId="77777777" w:rsidR="00BC2B75" w:rsidRPr="00AE6553" w:rsidRDefault="00BC2B75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10CD0D30" w14:textId="77777777" w:rsidR="00BC2B75" w:rsidRPr="00AE6553" w:rsidRDefault="00BC2B75" w:rsidP="00344025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257F942D" w14:textId="6D765504" w:rsidR="00BC2B75" w:rsidRPr="00AE6553" w:rsidRDefault="00B40AB7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2A643C7E" w14:textId="52952C2E" w:rsidR="00BC2B75" w:rsidRPr="00AE6553" w:rsidRDefault="00B40AB7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AE6553" w:rsidRDefault="00C02347" w:rsidP="006449AD">
      <w:pPr>
        <w:pStyle w:val="Nagwek2"/>
        <w:rPr>
          <w:lang w:val="pl-PL"/>
        </w:rPr>
      </w:pPr>
      <w:r w:rsidRPr="00AE6553">
        <w:rPr>
          <w:lang w:val="pl-PL"/>
        </w:rPr>
        <w:t>Metody kształcenia</w:t>
      </w:r>
    </w:p>
    <w:bookmarkEnd w:id="7"/>
    <w:p w14:paraId="71FE06A6" w14:textId="39AE738C" w:rsidR="00C02347" w:rsidRPr="00AE6553" w:rsidRDefault="00C02347" w:rsidP="00C02347">
      <w:pPr>
        <w:rPr>
          <w:rFonts w:cstheme="minorHAnsi"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Metody podające: </w:t>
      </w:r>
      <w:r w:rsidRPr="00AE6553">
        <w:rPr>
          <w:rFonts w:cstheme="minorHAnsi"/>
          <w:lang w:val="pl-PL"/>
        </w:rPr>
        <w:t>wykład informacyjny (wspomagany prezentacją multimedialną), mikrowykład, opis, prelekcja, objaśnianie lub wyjaśnianie</w:t>
      </w:r>
    </w:p>
    <w:p w14:paraId="39520B49" w14:textId="77777777" w:rsidR="00C02347" w:rsidRPr="00AE6553" w:rsidRDefault="00C02347" w:rsidP="00C02347">
      <w:pPr>
        <w:rPr>
          <w:rFonts w:cstheme="minorHAnsi"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Metody problemowe: </w:t>
      </w:r>
      <w:r w:rsidRPr="00AE6553">
        <w:rPr>
          <w:rFonts w:cstheme="minorHAnsi"/>
          <w:lang w:val="pl-PL"/>
        </w:rPr>
        <w:t>klasyczna metoda problemowa</w:t>
      </w:r>
    </w:p>
    <w:p w14:paraId="1B87C876" w14:textId="77777777" w:rsidR="00C02347" w:rsidRPr="00AE6553" w:rsidRDefault="00C02347" w:rsidP="00C02347">
      <w:pPr>
        <w:rPr>
          <w:rFonts w:cstheme="minorHAnsi"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Metody aktywizujące: </w:t>
      </w:r>
      <w:r w:rsidRPr="00AE6553">
        <w:rPr>
          <w:rFonts w:cstheme="minorHAnsi"/>
          <w:lang w:val="pl-PL"/>
        </w:rPr>
        <w:t>analiza przypadków, dyskusja dydaktyczna, debata, burza mózgów</w:t>
      </w:r>
    </w:p>
    <w:p w14:paraId="432221A5" w14:textId="77777777" w:rsidR="00C02347" w:rsidRPr="00AE6553" w:rsidRDefault="00C02347" w:rsidP="00C02347">
      <w:pPr>
        <w:rPr>
          <w:rFonts w:cstheme="minorHAnsi"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Metody eksponujące: </w:t>
      </w:r>
      <w:r w:rsidRPr="00AE6553">
        <w:rPr>
          <w:rFonts w:cstheme="minorHAnsi"/>
          <w:lang w:val="pl-PL"/>
        </w:rPr>
        <w:t>film, film edukacyjny</w:t>
      </w:r>
    </w:p>
    <w:p w14:paraId="0F719B6C" w14:textId="77777777" w:rsidR="00C02347" w:rsidRPr="00AE6553" w:rsidRDefault="00C02347" w:rsidP="00C02347">
      <w:pPr>
        <w:rPr>
          <w:rFonts w:cstheme="minorHAnsi"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Metody praktyczne: </w:t>
      </w:r>
      <w:r w:rsidRPr="00AE6553">
        <w:rPr>
          <w:rFonts w:cstheme="minorHAnsi"/>
          <w:lang w:val="pl-PL"/>
        </w:rPr>
        <w:t>pokaz, ćwiczenia / zadania przedmiotowe</w:t>
      </w:r>
    </w:p>
    <w:p w14:paraId="146447F8" w14:textId="77777777" w:rsidR="00C02347" w:rsidRPr="00AE6553" w:rsidRDefault="00C02347" w:rsidP="00C02347">
      <w:pPr>
        <w:rPr>
          <w:rFonts w:cstheme="minorHAnsi"/>
          <w:b/>
          <w:bCs/>
          <w:lang w:val="pl-PL"/>
        </w:rPr>
      </w:pPr>
      <w:r w:rsidRPr="00AE6553">
        <w:rPr>
          <w:rFonts w:cstheme="minorHAnsi"/>
          <w:b/>
          <w:bCs/>
          <w:lang w:val="pl-PL"/>
        </w:rPr>
        <w:t xml:space="preserve">Formy pracy: </w:t>
      </w:r>
      <w:r w:rsidRPr="00AE6553">
        <w:rPr>
          <w:rFonts w:cstheme="minorHAnsi"/>
          <w:lang w:val="pl-PL"/>
        </w:rPr>
        <w:t>indywidualna, w małych grupach</w:t>
      </w:r>
    </w:p>
    <w:bookmarkEnd w:id="8"/>
    <w:p w14:paraId="66299E61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Warunki zaliczenia</w:t>
      </w:r>
    </w:p>
    <w:p w14:paraId="28FDF754" w14:textId="6C643A02" w:rsidR="00AE6553" w:rsidRPr="00AE6553" w:rsidRDefault="00AE6553" w:rsidP="00AE6553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7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AE6553" w:rsidRPr="00AE6553" w14:paraId="1215B04C" w14:textId="77777777" w:rsidTr="00AE6553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320612B4" w14:textId="77777777" w:rsidR="00AE6553" w:rsidRPr="00AE6553" w:rsidRDefault="00AE6553" w:rsidP="0034402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2E085E48" w14:textId="77777777" w:rsidR="00AE6553" w:rsidRPr="00AE6553" w:rsidRDefault="00AE6553" w:rsidP="00344025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E6553">
              <w:rPr>
                <w:b/>
                <w:sz w:val="20"/>
                <w:szCs w:val="20"/>
                <w:lang w:val="pl-PL"/>
              </w:rPr>
              <w:t>Wagi (%)</w:t>
            </w:r>
            <w:r w:rsidRPr="00AE6553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AE6553" w:rsidRPr="00AE6553" w14:paraId="262DC5D7" w14:textId="77777777" w:rsidTr="00AE6553">
        <w:trPr>
          <w:trHeight w:val="263"/>
        </w:trPr>
        <w:tc>
          <w:tcPr>
            <w:tcW w:w="3942" w:type="pct"/>
            <w:vAlign w:val="center"/>
          </w:tcPr>
          <w:p w14:paraId="54D38B51" w14:textId="329DFA07" w:rsidR="00AE6553" w:rsidRPr="00AE6553" w:rsidRDefault="00AE6553" w:rsidP="00AE6553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52948136" w14:textId="439D9C14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AE6553" w:rsidRPr="00AE6553" w14:paraId="3C56F008" w14:textId="77777777" w:rsidTr="00AE6553">
        <w:trPr>
          <w:trHeight w:val="263"/>
        </w:trPr>
        <w:tc>
          <w:tcPr>
            <w:tcW w:w="3942" w:type="pct"/>
            <w:vAlign w:val="center"/>
          </w:tcPr>
          <w:p w14:paraId="651919AA" w14:textId="65463501" w:rsidR="00AE6553" w:rsidRPr="00AE6553" w:rsidRDefault="00AE6553" w:rsidP="00AE655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Aktywność na zajęciach</w:t>
            </w:r>
          </w:p>
        </w:tc>
        <w:tc>
          <w:tcPr>
            <w:tcW w:w="1058" w:type="pct"/>
            <w:vAlign w:val="center"/>
          </w:tcPr>
          <w:p w14:paraId="0EFA8898" w14:textId="2FB14649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AE6553" w:rsidRPr="00AE6553" w14:paraId="60C07D3E" w14:textId="77777777" w:rsidTr="00AE6553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6E434150" w14:textId="77777777" w:rsidR="00AE6553" w:rsidRPr="00AE6553" w:rsidRDefault="00AE6553" w:rsidP="00344025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252D952C" w14:textId="77777777" w:rsidR="00AE6553" w:rsidRPr="00AE6553" w:rsidRDefault="00AE6553" w:rsidP="00344025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AE6553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Rozliczenie pracy własnej studenta</w:t>
      </w:r>
    </w:p>
    <w:p w14:paraId="29E75CBA" w14:textId="3444799B" w:rsidR="00C02347" w:rsidRPr="00AE6553" w:rsidRDefault="00C02347" w:rsidP="00C02347">
      <w:pPr>
        <w:pStyle w:val="Legenda"/>
        <w:keepNext/>
        <w:rPr>
          <w:lang w:val="pl-PL"/>
        </w:rPr>
      </w:pPr>
      <w:r w:rsidRPr="00AE6553">
        <w:rPr>
          <w:b/>
          <w:lang w:val="pl-PL"/>
        </w:rPr>
        <w:t xml:space="preserve">Tabela </w:t>
      </w:r>
      <w:r w:rsidRPr="00AE6553">
        <w:rPr>
          <w:b/>
          <w:lang w:val="pl-PL"/>
        </w:rPr>
        <w:fldChar w:fldCharType="begin"/>
      </w:r>
      <w:r w:rsidRPr="00AE6553">
        <w:rPr>
          <w:b/>
          <w:lang w:val="pl-PL"/>
        </w:rPr>
        <w:instrText xml:space="preserve"> SEQ Tabela \* ARABIC </w:instrText>
      </w:r>
      <w:r w:rsidRPr="00AE6553">
        <w:rPr>
          <w:b/>
          <w:lang w:val="pl-PL"/>
        </w:rPr>
        <w:fldChar w:fldCharType="separate"/>
      </w:r>
      <w:r w:rsidR="006537C8">
        <w:rPr>
          <w:b/>
          <w:noProof/>
          <w:lang w:val="pl-PL"/>
        </w:rPr>
        <w:t>8</w:t>
      </w:r>
      <w:r w:rsidRPr="00AE6553">
        <w:rPr>
          <w:b/>
          <w:lang w:val="pl-PL"/>
        </w:rPr>
        <w:fldChar w:fldCharType="end"/>
      </w:r>
      <w:r w:rsidRPr="00AE6553">
        <w:rPr>
          <w:b/>
          <w:lang w:val="pl-PL"/>
        </w:rPr>
        <w:t>.</w:t>
      </w:r>
      <w:r w:rsidRPr="00AE6553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AE6553" w14:paraId="20E406A7" w14:textId="77777777" w:rsidTr="00AE6553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AE6553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AE6553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AE6553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AE6553" w:rsidRPr="00AE6553" w14:paraId="768C7D64" w14:textId="77777777" w:rsidTr="00AE6553">
        <w:trPr>
          <w:trHeight w:val="405"/>
        </w:trPr>
        <w:tc>
          <w:tcPr>
            <w:tcW w:w="3424" w:type="pct"/>
            <w:vAlign w:val="center"/>
          </w:tcPr>
          <w:p w14:paraId="66DFFA46" w14:textId="77777777" w:rsidR="00AE6553" w:rsidRPr="00AE6553" w:rsidRDefault="00AE6553" w:rsidP="00AE655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7DDED721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15303C78" w14:textId="5A9BD4F7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27</w:t>
            </w:r>
          </w:p>
        </w:tc>
      </w:tr>
      <w:tr w:rsidR="00AE6553" w:rsidRPr="00AE6553" w14:paraId="458984B9" w14:textId="77777777" w:rsidTr="00AE6553">
        <w:trPr>
          <w:trHeight w:val="405"/>
        </w:trPr>
        <w:tc>
          <w:tcPr>
            <w:tcW w:w="3424" w:type="pct"/>
            <w:vAlign w:val="center"/>
          </w:tcPr>
          <w:p w14:paraId="06B34F35" w14:textId="3EA9A014" w:rsidR="00AE6553" w:rsidRPr="00AE6553" w:rsidRDefault="00AE6553" w:rsidP="00AE655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sz w:val="20"/>
                <w:szCs w:val="20"/>
                <w:lang w:val="pl-PL"/>
              </w:rPr>
              <w:t>Wizyty na wystawach sztuki i architektury</w:t>
            </w:r>
          </w:p>
        </w:tc>
        <w:tc>
          <w:tcPr>
            <w:tcW w:w="788" w:type="pct"/>
            <w:vAlign w:val="center"/>
          </w:tcPr>
          <w:p w14:paraId="27F24AB2" w14:textId="40EDF890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28491C" w14:textId="4476C7BF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10</w:t>
            </w:r>
          </w:p>
        </w:tc>
      </w:tr>
      <w:tr w:rsidR="00AE6553" w:rsidRPr="00AE6553" w14:paraId="69D1EEA1" w14:textId="77777777" w:rsidTr="00AE6553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AE6553" w:rsidRPr="00AE6553" w:rsidRDefault="00AE6553" w:rsidP="00AE655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0D71C96D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37BD0768" w14:textId="4A3DA59E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20</w:t>
            </w:r>
          </w:p>
        </w:tc>
      </w:tr>
      <w:tr w:rsidR="00AE6553" w:rsidRPr="00AE6553" w14:paraId="67714877" w14:textId="77777777" w:rsidTr="00AE6553">
        <w:trPr>
          <w:trHeight w:val="405"/>
        </w:trPr>
        <w:tc>
          <w:tcPr>
            <w:tcW w:w="3424" w:type="pct"/>
            <w:vAlign w:val="center"/>
          </w:tcPr>
          <w:p w14:paraId="35BC8C20" w14:textId="0C6F02EC" w:rsidR="00AE6553" w:rsidRPr="00AE6553" w:rsidRDefault="00AE6553" w:rsidP="00AE6553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itp.)</w:t>
            </w:r>
          </w:p>
        </w:tc>
        <w:tc>
          <w:tcPr>
            <w:tcW w:w="788" w:type="pct"/>
            <w:vAlign w:val="center"/>
          </w:tcPr>
          <w:p w14:paraId="1D588836" w14:textId="4CA22210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686E3843" w14:textId="70A9BF3E" w:rsidR="00AE6553" w:rsidRPr="00AE6553" w:rsidRDefault="00AE6553" w:rsidP="00AE6553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AE6553">
              <w:rPr>
                <w:sz w:val="20"/>
                <w:szCs w:val="20"/>
                <w:lang w:val="pl-PL"/>
              </w:rPr>
              <w:t>27</w:t>
            </w:r>
          </w:p>
        </w:tc>
      </w:tr>
      <w:tr w:rsidR="00C02347" w:rsidRPr="00AE6553" w14:paraId="68EFE71A" w14:textId="77777777" w:rsidTr="00AE6553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AE6553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2971BBBD" w:rsidR="00C02347" w:rsidRPr="00AE6553" w:rsidRDefault="00AE6553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70</w:t>
            </w:r>
          </w:p>
        </w:tc>
        <w:tc>
          <w:tcPr>
            <w:tcW w:w="788" w:type="pct"/>
            <w:vAlign w:val="center"/>
          </w:tcPr>
          <w:p w14:paraId="5977EDF0" w14:textId="4A56A599" w:rsidR="00C02347" w:rsidRPr="00AE6553" w:rsidRDefault="00AE6553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AE6553">
              <w:rPr>
                <w:rFonts w:cstheme="minorHAnsi"/>
                <w:b/>
                <w:sz w:val="20"/>
                <w:szCs w:val="20"/>
                <w:lang w:val="pl-PL"/>
              </w:rPr>
              <w:t>84</w:t>
            </w:r>
          </w:p>
        </w:tc>
      </w:tr>
    </w:tbl>
    <w:p w14:paraId="5681C542" w14:textId="77777777" w:rsidR="00C02347" w:rsidRPr="00AE6553" w:rsidRDefault="00C02347" w:rsidP="00D01BA6">
      <w:pPr>
        <w:pStyle w:val="Nagwek2"/>
        <w:rPr>
          <w:lang w:val="pl-PL"/>
        </w:rPr>
      </w:pPr>
      <w:r w:rsidRPr="00AE6553">
        <w:rPr>
          <w:lang w:val="pl-PL"/>
        </w:rPr>
        <w:lastRenderedPageBreak/>
        <w:t>Literatura obowiązkowa</w:t>
      </w:r>
    </w:p>
    <w:p w14:paraId="50833C24" w14:textId="11D1F17C" w:rsidR="00AE6553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Sztuka świata, tomy 1-15, Warszawa, Arkady.</w:t>
      </w:r>
    </w:p>
    <w:p w14:paraId="55A72178" w14:textId="3E29E149" w:rsidR="00AE6553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E. H. Gombrich, O sztuce, Warszawa, Arkady 1997.</w:t>
      </w:r>
    </w:p>
    <w:p w14:paraId="07BBE41F" w14:textId="13868CCF" w:rsidR="00AE6553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E. H. Gombrich, Zmysł porządku.</w:t>
      </w:r>
    </w:p>
    <w:p w14:paraId="4E2B1F7A" w14:textId="2BD48F6E" w:rsidR="00AE6553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H. W. Janson, Historia sztuki, Warszawa, Arkady 2009.</w:t>
      </w:r>
    </w:p>
    <w:p w14:paraId="67635738" w14:textId="05345CCA" w:rsidR="00AE6553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A. Hauser, Społeczna historia sztuki i literatury, Warszawa, PIW 1982.</w:t>
      </w:r>
    </w:p>
    <w:p w14:paraId="42E04CE8" w14:textId="6915FF9E" w:rsidR="00C02347" w:rsidRPr="00AE6553" w:rsidRDefault="00AE6553" w:rsidP="00AE6553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E6553">
        <w:rPr>
          <w:lang w:val="pl-PL"/>
        </w:rPr>
        <w:t>H. Honour, J. Fleming, Historia świata sztuki, Warszawa, Arkady 2002</w:t>
      </w:r>
      <w:r w:rsidR="00C02347" w:rsidRPr="00AE6553">
        <w:rPr>
          <w:lang w:val="pl-PL"/>
        </w:rPr>
        <w:t>.</w:t>
      </w:r>
    </w:p>
    <w:p w14:paraId="31F330FB" w14:textId="77777777" w:rsidR="00C02347" w:rsidRPr="00AE6553" w:rsidRDefault="00C02347" w:rsidP="00C02347">
      <w:pPr>
        <w:pStyle w:val="Nagwek2"/>
        <w:rPr>
          <w:lang w:val="pl-PL"/>
        </w:rPr>
      </w:pPr>
      <w:r w:rsidRPr="00AE6553">
        <w:rPr>
          <w:lang w:val="pl-PL"/>
        </w:rPr>
        <w:t>Literatura uzupełniająca</w:t>
      </w:r>
    </w:p>
    <w:p w14:paraId="1B8934CD" w14:textId="43614ED0" w:rsidR="00AE6553" w:rsidRPr="00AE6553" w:rsidRDefault="00AE6553" w:rsidP="00AE6553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AE6553">
        <w:rPr>
          <w:lang w:val="pl-PL"/>
        </w:rPr>
        <w:t>E. Gombrich, Sztuka i złudzenie. Studium psychologii przedstawienia obrazowego, Warszawa, PIW 1981.</w:t>
      </w:r>
    </w:p>
    <w:p w14:paraId="79BB6E71" w14:textId="0719666B" w:rsidR="00AE6553" w:rsidRPr="00AE6553" w:rsidRDefault="00AE6553" w:rsidP="00AE6553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AE6553">
        <w:rPr>
          <w:lang w:val="pl-PL"/>
        </w:rPr>
        <w:t>O. van Simson, Katedra gotycka. Narodziny nowego stylu w sztuce Europy, Warszawa, PIW 1989.</w:t>
      </w:r>
    </w:p>
    <w:p w14:paraId="2688DA51" w14:textId="747ADD13" w:rsidR="00AE6553" w:rsidRPr="00AE6553" w:rsidRDefault="00AE6553" w:rsidP="00AE6553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AE6553">
        <w:rPr>
          <w:lang w:val="pl-PL"/>
        </w:rPr>
        <w:t>H. H. Aenason, Historia sztuki nowoczesnej, Warszawa, Arkady, 2013.</w:t>
      </w:r>
    </w:p>
    <w:p w14:paraId="10AF129B" w14:textId="288029AD" w:rsidR="00AE6553" w:rsidRPr="00AE6553" w:rsidRDefault="00AE6553" w:rsidP="00AE6553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AE6553">
        <w:rPr>
          <w:lang w:val="pl-PL"/>
        </w:rPr>
        <w:t>E. Lucie-Smith, Słownik sztuki XX wieku, Warszawa, Arkady 1996.</w:t>
      </w:r>
    </w:p>
    <w:sectPr w:rsidR="00AE6553" w:rsidRPr="00AE6553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D2C97" w14:textId="77777777" w:rsidR="0029285B" w:rsidRDefault="0029285B" w:rsidP="00C02347">
      <w:pPr>
        <w:spacing w:before="0" w:after="0" w:line="240" w:lineRule="auto"/>
      </w:pPr>
      <w:r>
        <w:separator/>
      </w:r>
    </w:p>
  </w:endnote>
  <w:endnote w:type="continuationSeparator" w:id="0">
    <w:p w14:paraId="21A90228" w14:textId="77777777" w:rsidR="0029285B" w:rsidRDefault="0029285B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5164C0C3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8D6F84">
      <w:rPr>
        <w:b/>
        <w:lang w:val="pl-PL"/>
      </w:rPr>
      <w:t>Historia sztuki</w:t>
    </w:r>
    <w:r w:rsidRPr="006A257C">
      <w:rPr>
        <w:b/>
        <w:lang w:val="pl-PL"/>
      </w:rPr>
      <w:t xml:space="preserve"> (</w:t>
    </w:r>
    <w:r w:rsidR="008D6F84">
      <w:rPr>
        <w:b/>
        <w:lang w:val="pl-PL"/>
      </w:rPr>
      <w:t>cz. 1</w:t>
    </w:r>
    <w:r w:rsidRPr="006A257C">
      <w:rPr>
        <w:b/>
        <w:lang w:val="pl-PL"/>
      </w:rPr>
      <w:t>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093E8" w14:textId="77777777" w:rsidR="0029285B" w:rsidRDefault="0029285B" w:rsidP="00C02347">
      <w:pPr>
        <w:spacing w:before="0" w:after="0" w:line="240" w:lineRule="auto"/>
      </w:pPr>
      <w:r>
        <w:separator/>
      </w:r>
    </w:p>
  </w:footnote>
  <w:footnote w:type="continuationSeparator" w:id="0">
    <w:p w14:paraId="748CFA4C" w14:textId="77777777" w:rsidR="0029285B" w:rsidRDefault="0029285B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71E30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1760B"/>
    <w:rsid w:val="000943A6"/>
    <w:rsid w:val="000D6D95"/>
    <w:rsid w:val="001C5B79"/>
    <w:rsid w:val="00212502"/>
    <w:rsid w:val="00220EE2"/>
    <w:rsid w:val="0029285B"/>
    <w:rsid w:val="002A0C92"/>
    <w:rsid w:val="00305375"/>
    <w:rsid w:val="00341F9D"/>
    <w:rsid w:val="00386067"/>
    <w:rsid w:val="00394740"/>
    <w:rsid w:val="0042003B"/>
    <w:rsid w:val="00425222"/>
    <w:rsid w:val="00444E95"/>
    <w:rsid w:val="00495E80"/>
    <w:rsid w:val="004F3B3C"/>
    <w:rsid w:val="005538A3"/>
    <w:rsid w:val="005733FB"/>
    <w:rsid w:val="00590155"/>
    <w:rsid w:val="005C4671"/>
    <w:rsid w:val="006066E1"/>
    <w:rsid w:val="006449AD"/>
    <w:rsid w:val="006537C8"/>
    <w:rsid w:val="00684099"/>
    <w:rsid w:val="00696CF4"/>
    <w:rsid w:val="006A257C"/>
    <w:rsid w:val="007A0683"/>
    <w:rsid w:val="007E1A25"/>
    <w:rsid w:val="007F1BC8"/>
    <w:rsid w:val="00840BCD"/>
    <w:rsid w:val="00844BF7"/>
    <w:rsid w:val="008533AC"/>
    <w:rsid w:val="008D6F84"/>
    <w:rsid w:val="009C7FB6"/>
    <w:rsid w:val="00AA4E0D"/>
    <w:rsid w:val="00AA66C6"/>
    <w:rsid w:val="00AC276F"/>
    <w:rsid w:val="00AE6553"/>
    <w:rsid w:val="00B40AB7"/>
    <w:rsid w:val="00B42A80"/>
    <w:rsid w:val="00BA406D"/>
    <w:rsid w:val="00BC2B75"/>
    <w:rsid w:val="00C009B5"/>
    <w:rsid w:val="00C02347"/>
    <w:rsid w:val="00C42BC9"/>
    <w:rsid w:val="00C84643"/>
    <w:rsid w:val="00C87487"/>
    <w:rsid w:val="00D01BA6"/>
    <w:rsid w:val="00D415FD"/>
    <w:rsid w:val="00D44ACE"/>
    <w:rsid w:val="00D502ED"/>
    <w:rsid w:val="00DC6302"/>
    <w:rsid w:val="00DE71E6"/>
    <w:rsid w:val="00E46EDF"/>
    <w:rsid w:val="00E762F9"/>
    <w:rsid w:val="00EA5D77"/>
    <w:rsid w:val="00EB0418"/>
    <w:rsid w:val="00EC2923"/>
    <w:rsid w:val="00EC4389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E762F9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E762F9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E7423"/>
    <w:rsid w:val="00220EE2"/>
    <w:rsid w:val="003313B8"/>
    <w:rsid w:val="003832C0"/>
    <w:rsid w:val="00405951"/>
    <w:rsid w:val="00425222"/>
    <w:rsid w:val="00466774"/>
    <w:rsid w:val="004A1E54"/>
    <w:rsid w:val="005F5952"/>
    <w:rsid w:val="00615F1D"/>
    <w:rsid w:val="007A174E"/>
    <w:rsid w:val="007B2BE3"/>
    <w:rsid w:val="007D3F86"/>
    <w:rsid w:val="00844463"/>
    <w:rsid w:val="00943670"/>
    <w:rsid w:val="00AC276F"/>
    <w:rsid w:val="00C36E29"/>
    <w:rsid w:val="00C83F90"/>
    <w:rsid w:val="00DE71E6"/>
    <w:rsid w:val="00E216AB"/>
    <w:rsid w:val="00E368EA"/>
    <w:rsid w:val="00E37F5D"/>
    <w:rsid w:val="00EB0418"/>
    <w:rsid w:val="00EC2923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AB57-5F5E-4890-A3EB-3BE8E353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Historia sztuki (cz. 1). Uniwersytet VIZJA. Architektura wnętrz</vt:lpstr>
    </vt:vector>
  </TitlesOfParts>
  <Manager>Katarzyna Szymańska</Manager>
  <Company>Uniwersytet VIZJA w Warszawie</Company>
  <LinksUpToDate>false</LinksUpToDate>
  <CharactersWithSpaces>7746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Historia sztuki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32</cp:revision>
  <cp:lastPrinted>2026-01-14T11:56:00Z</cp:lastPrinted>
  <dcterms:created xsi:type="dcterms:W3CDTF">2026-01-08T09:00:00Z</dcterms:created>
  <dcterms:modified xsi:type="dcterms:W3CDTF">2026-01-14T11:56:00Z</dcterms:modified>
  <cp:category>sylabus dostępny cyfrowo</cp:category>
  <cp:contentStatus>na dzień 12.01.2026</cp:contentStatus>
</cp:coreProperties>
</file>