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23DF678E" w:rsidR="004F3B3C" w:rsidRPr="00B66610" w:rsidRDefault="004F3B3C" w:rsidP="004F3B3C">
      <w:pPr>
        <w:rPr>
          <w:lang w:val="pl-PL"/>
        </w:rPr>
      </w:pPr>
      <w:r w:rsidRPr="00B66610">
        <w:rPr>
          <w:lang w:val="pl-PL"/>
        </w:rPr>
        <w:t xml:space="preserve">wersja </w:t>
      </w:r>
      <w:r w:rsidR="00981FD8">
        <w:rPr>
          <w:lang w:val="pl-PL"/>
        </w:rPr>
        <w:t xml:space="preserve">sylabusa </w:t>
      </w:r>
      <w:r w:rsidRPr="00B66610">
        <w:rPr>
          <w:lang w:val="pl-PL"/>
        </w:rPr>
        <w:t>dostępna cyfrowo</w:t>
      </w:r>
    </w:p>
    <w:p w14:paraId="7F640A28" w14:textId="28F1A695" w:rsidR="00AB0067" w:rsidRPr="00B66610" w:rsidRDefault="00AB0067" w:rsidP="00AB0067">
      <w:pPr>
        <w:pStyle w:val="Nagwek1"/>
        <w:spacing w:after="0"/>
        <w:rPr>
          <w:lang w:val="pl-PL"/>
        </w:rPr>
      </w:pPr>
      <w:bookmarkStart w:id="0" w:name="_Hlk219026415"/>
      <w:r w:rsidRPr="00B66610">
        <w:rPr>
          <w:lang w:val="pl-PL"/>
        </w:rPr>
        <w:t>Materiały i technologie</w:t>
      </w:r>
    </w:p>
    <w:p w14:paraId="3BE6A65B" w14:textId="46C82108" w:rsidR="00AB0067" w:rsidRPr="00B66610" w:rsidRDefault="00FF1E21" w:rsidP="00AB0067">
      <w:pPr>
        <w:pStyle w:val="podtytul-h1"/>
        <w:rPr>
          <w:lang w:val="pl-PL"/>
        </w:rPr>
      </w:pPr>
      <w:r w:rsidRPr="00B66610">
        <w:rPr>
          <w:lang w:val="pl-PL"/>
        </w:rPr>
        <w:t>Materials and Technologies</w:t>
      </w:r>
    </w:p>
    <w:bookmarkEnd w:id="0"/>
    <w:p w14:paraId="2808A76D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Metryka przedmiotu</w:t>
      </w:r>
    </w:p>
    <w:p w14:paraId="6F0BD27E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Program studiów dla przedmiotu obowiązujący od cyklu kształcenia:</w:t>
      </w:r>
      <w:r w:rsidRPr="00B66610">
        <w:rPr>
          <w:lang w:val="pl-PL"/>
        </w:rPr>
        <w:t xml:space="preserve"> 2025/2026</w:t>
      </w:r>
    </w:p>
    <w:p w14:paraId="33971A12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Kierunek studiów:</w:t>
      </w:r>
      <w:r w:rsidRPr="00B66610">
        <w:rPr>
          <w:lang w:val="pl-PL"/>
        </w:rPr>
        <w:t xml:space="preserve"> Architektura wnętrz</w:t>
      </w:r>
    </w:p>
    <w:p w14:paraId="46CFE667" w14:textId="7156F5D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Rok i semestr studiów:</w:t>
      </w:r>
      <w:r w:rsidRPr="00B66610">
        <w:rPr>
          <w:lang w:val="pl-PL"/>
        </w:rPr>
        <w:t xml:space="preserve"> Rok </w:t>
      </w:r>
      <w:r w:rsidR="00FF1E21" w:rsidRPr="00B66610">
        <w:rPr>
          <w:lang w:val="pl-PL"/>
        </w:rPr>
        <w:t>pierwszy</w:t>
      </w:r>
      <w:r w:rsidR="00EC4389" w:rsidRPr="00B66610">
        <w:rPr>
          <w:lang w:val="pl-PL"/>
        </w:rPr>
        <w:t>,</w:t>
      </w:r>
      <w:r w:rsidRPr="00B66610">
        <w:rPr>
          <w:lang w:val="pl-PL"/>
        </w:rPr>
        <w:t xml:space="preserve"> Semestr </w:t>
      </w:r>
      <w:r w:rsidR="00FF1E21" w:rsidRPr="00B66610">
        <w:rPr>
          <w:lang w:val="pl-PL"/>
        </w:rPr>
        <w:t>drugi</w:t>
      </w:r>
    </w:p>
    <w:p w14:paraId="30C6CA4C" w14:textId="2F9C9782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Poziom kształcenia:</w:t>
      </w:r>
      <w:r w:rsidRPr="00B66610">
        <w:rPr>
          <w:lang w:val="pl-PL"/>
        </w:rPr>
        <w:t xml:space="preserve"> Studia </w:t>
      </w:r>
      <w:r w:rsidR="00FF1E21" w:rsidRPr="00B66610">
        <w:rPr>
          <w:lang w:val="pl-PL"/>
        </w:rPr>
        <w:t>pierwszego</w:t>
      </w:r>
      <w:r w:rsidRPr="00B66610">
        <w:rPr>
          <w:lang w:val="pl-PL"/>
        </w:rPr>
        <w:t xml:space="preserve"> stopnia</w:t>
      </w:r>
    </w:p>
    <w:p w14:paraId="554B8705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Profil kształcenia na kierunku:</w:t>
      </w:r>
      <w:r w:rsidRPr="00B66610">
        <w:rPr>
          <w:lang w:val="pl-PL"/>
        </w:rPr>
        <w:t xml:space="preserve"> Praktyczny</w:t>
      </w:r>
    </w:p>
    <w:p w14:paraId="4D87BA9C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Moduł kształcenia dla przedmiotu:</w:t>
      </w:r>
      <w:r w:rsidRPr="00B66610">
        <w:rPr>
          <w:lang w:val="pl-PL"/>
        </w:rPr>
        <w:t xml:space="preserve"> Kierunkowy</w:t>
      </w:r>
    </w:p>
    <w:p w14:paraId="6B0ECCCF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Nazwa specjalizacji</w:t>
      </w:r>
      <w:r w:rsidRPr="00B66610">
        <w:rPr>
          <w:lang w:val="pl-PL"/>
        </w:rPr>
        <w:t xml:space="preserve"> (jeśli przedmiot specjalizacyjny)</w:t>
      </w:r>
      <w:r w:rsidRPr="00B66610">
        <w:rPr>
          <w:b/>
          <w:lang w:val="pl-PL"/>
        </w:rPr>
        <w:t>:</w:t>
      </w:r>
      <w:r w:rsidRPr="00B66610">
        <w:rPr>
          <w:lang w:val="pl-PL"/>
        </w:rPr>
        <w:t xml:space="preserve"> Nie dotyczy</w:t>
      </w:r>
    </w:p>
    <w:p w14:paraId="31D40EBF" w14:textId="77777777" w:rsidR="00C02347" w:rsidRPr="00B66610" w:rsidRDefault="00C02347" w:rsidP="00C02347">
      <w:pPr>
        <w:rPr>
          <w:lang w:val="pl-PL"/>
        </w:rPr>
      </w:pPr>
      <w:r w:rsidRPr="00B66610">
        <w:rPr>
          <w:b/>
          <w:lang w:val="pl-PL"/>
        </w:rPr>
        <w:t>Status przedmiotu</w:t>
      </w:r>
      <w:r w:rsidRPr="00B66610">
        <w:rPr>
          <w:lang w:val="pl-PL"/>
        </w:rPr>
        <w:t>: Obligatoryjny</w:t>
      </w:r>
    </w:p>
    <w:p w14:paraId="2F467E71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Liczba godzin</w:t>
      </w:r>
    </w:p>
    <w:p w14:paraId="3E6D92B6" w14:textId="51067EFE" w:rsidR="00C02347" w:rsidRPr="00B66610" w:rsidRDefault="00C02347" w:rsidP="00C02347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1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B6661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B66610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B66610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B66610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B6661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B6661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B6661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B6661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B6661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B6661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673340DB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B6661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7113B855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B6661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B6661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62753346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2</w:t>
            </w:r>
            <w:r w:rsidR="00C02347" w:rsidRPr="00B6661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1B89CB4C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B6661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B6661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22E52348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B6661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7D49DAA5" w:rsidR="00C02347" w:rsidRPr="00B66610" w:rsidRDefault="00FF1E21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50</w:t>
            </w:r>
          </w:p>
        </w:tc>
      </w:tr>
    </w:tbl>
    <w:p w14:paraId="5D2BEC2E" w14:textId="77777777" w:rsidR="006066E1" w:rsidRPr="00B66610" w:rsidRDefault="006066E1" w:rsidP="006066E1">
      <w:pPr>
        <w:pStyle w:val="Nagwek2"/>
        <w:rPr>
          <w:lang w:val="pl-PL"/>
        </w:rPr>
      </w:pPr>
      <w:r w:rsidRPr="00B66610">
        <w:rPr>
          <w:lang w:val="pl-PL"/>
        </w:rPr>
        <w:t>Liczba punktów ECTS</w:t>
      </w:r>
    </w:p>
    <w:p w14:paraId="791081D1" w14:textId="3026110D" w:rsidR="006066E1" w:rsidRPr="00B66610" w:rsidRDefault="00FF1E21" w:rsidP="006066E1">
      <w:pPr>
        <w:rPr>
          <w:lang w:val="pl-PL"/>
        </w:rPr>
      </w:pPr>
      <w:r w:rsidRPr="00B66610">
        <w:rPr>
          <w:lang w:val="pl-PL"/>
        </w:rPr>
        <w:t>2</w:t>
      </w:r>
      <w:r w:rsidR="006066E1" w:rsidRPr="00B66610">
        <w:rPr>
          <w:lang w:val="pl-PL"/>
        </w:rPr>
        <w:t xml:space="preserve"> punkt</w:t>
      </w:r>
      <w:r w:rsidRPr="00B66610">
        <w:rPr>
          <w:lang w:val="pl-PL"/>
        </w:rPr>
        <w:t>y</w:t>
      </w:r>
      <w:r w:rsidR="006066E1" w:rsidRPr="00B66610">
        <w:rPr>
          <w:lang w:val="pl-PL"/>
        </w:rPr>
        <w:t xml:space="preserve"> ECTS</w:t>
      </w:r>
    </w:p>
    <w:p w14:paraId="43C233A5" w14:textId="56133441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Forma zaliczenia</w:t>
      </w:r>
    </w:p>
    <w:p w14:paraId="0C4428B8" w14:textId="42B0A10E" w:rsidR="00C02347" w:rsidRPr="00B66610" w:rsidRDefault="00C02347" w:rsidP="00C02347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2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B6661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B6661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B6661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B6661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FF1E21" w:rsidRPr="00B66610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06E68E6D293B423DB25074F88C5F2B5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FF1E21" w:rsidRPr="00B66610" w:rsidRDefault="00FF1E21" w:rsidP="00FF1E21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585D738F305B4AA6A0D99B8C90469BA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FF1E21" w:rsidRPr="00B66610" w:rsidRDefault="00FF1E21" w:rsidP="00FF1E21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1100489324"/>
              <w:placeholder>
                <w:docPart w:val="CF9FC65B4F5B4DF89DE450B8CB9E667C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683DAB8E" w:rsidR="00FF1E21" w:rsidRPr="00B66610" w:rsidRDefault="00FF1E21" w:rsidP="00FF1E21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B6661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Wymagania wstępne</w:t>
      </w:r>
    </w:p>
    <w:p w14:paraId="2D92EC62" w14:textId="09CC58F3" w:rsidR="00C02347" w:rsidRPr="00B66610" w:rsidRDefault="00C02347" w:rsidP="00C02347">
      <w:pPr>
        <w:tabs>
          <w:tab w:val="left" w:pos="6315"/>
        </w:tabs>
        <w:rPr>
          <w:lang w:val="pl-PL"/>
        </w:rPr>
      </w:pPr>
      <w:r w:rsidRPr="00B66610">
        <w:rPr>
          <w:lang w:val="pl-PL"/>
        </w:rPr>
        <w:t>Brak wymagań wstępnych</w:t>
      </w:r>
      <w:r w:rsidR="00B661CC">
        <w:rPr>
          <w:lang w:val="pl-PL"/>
        </w:rPr>
        <w:t xml:space="preserve"> wynikających z następstwa przedmiotów</w:t>
      </w:r>
      <w:r w:rsidRPr="00B66610">
        <w:rPr>
          <w:lang w:val="pl-PL"/>
        </w:rPr>
        <w:t>.</w:t>
      </w:r>
    </w:p>
    <w:p w14:paraId="78833E18" w14:textId="77777777" w:rsidR="00C02347" w:rsidRPr="00B66610" w:rsidRDefault="00C02347" w:rsidP="00DC6302">
      <w:pPr>
        <w:pStyle w:val="Nagwek2"/>
        <w:rPr>
          <w:lang w:val="pl-PL"/>
        </w:rPr>
      </w:pPr>
      <w:r w:rsidRPr="00B66610">
        <w:rPr>
          <w:lang w:val="pl-PL"/>
        </w:rPr>
        <w:lastRenderedPageBreak/>
        <w:t>Cele kształcenia przedmiotu</w:t>
      </w:r>
    </w:p>
    <w:p w14:paraId="5AA006D8" w14:textId="77777777" w:rsidR="00FF1E21" w:rsidRPr="00B66610" w:rsidRDefault="00FF1E21" w:rsidP="00FF1E21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B66610">
        <w:rPr>
          <w:lang w:val="pl-PL"/>
        </w:rPr>
        <w:t>Poznanie właściwości fizycznych, technicznych i estetycznych materiałów stosowanych w architekturze wnętrz oraz technologii ich obróbki i montażu.</w:t>
      </w:r>
    </w:p>
    <w:p w14:paraId="483381E2" w14:textId="77777777" w:rsidR="00FF1E21" w:rsidRPr="00B66610" w:rsidRDefault="00FF1E21" w:rsidP="00FF1E21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B66610">
        <w:rPr>
          <w:lang w:val="pl-PL"/>
        </w:rPr>
        <w:t>Nabycie umiejętności świadomego doboru materiałów wykończeniowych i konstrukcyjnych do specyfiki.</w:t>
      </w:r>
    </w:p>
    <w:p w14:paraId="03EA2AF1" w14:textId="7B0A86C7" w:rsidR="00C02347" w:rsidRPr="00B66610" w:rsidRDefault="00FF1E21" w:rsidP="00FF1E21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B66610">
        <w:rPr>
          <w:lang w:val="pl-PL"/>
        </w:rPr>
        <w:t>Rozwinięcie kompetencji w zakresie tworzenia zestawień materiałowych łączących aspekty funkcjonalne, trwałościowe i sensoryczne.</w:t>
      </w:r>
    </w:p>
    <w:p w14:paraId="497E04CA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Efekty uczenia się</w:t>
      </w:r>
    </w:p>
    <w:p w14:paraId="124B1E75" w14:textId="77777777" w:rsidR="00DC6302" w:rsidRPr="00B66610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B66610">
        <w:rPr>
          <w:lang w:val="pl-PL"/>
        </w:rPr>
        <w:t>Wiedza</w:t>
      </w:r>
    </w:p>
    <w:bookmarkEnd w:id="2"/>
    <w:p w14:paraId="028A9DCA" w14:textId="579BE1FA" w:rsidR="00C02347" w:rsidRPr="00B66610" w:rsidRDefault="00C02347" w:rsidP="00C02347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3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B66610" w14:paraId="2A8B9CC9" w14:textId="77777777" w:rsidTr="00FF1E21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B6661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B66610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B66610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B66610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F1E21" w:rsidRPr="00B66610" w14:paraId="5B5D042D" w14:textId="77777777" w:rsidTr="00FF1E21">
        <w:tc>
          <w:tcPr>
            <w:tcW w:w="562" w:type="dxa"/>
            <w:vAlign w:val="center"/>
          </w:tcPr>
          <w:p w14:paraId="490AA648" w14:textId="77777777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21ECDD47" w:rsidR="00FF1E21" w:rsidRPr="00B66610" w:rsidRDefault="00FF1E21" w:rsidP="00FF1E21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posiada wiedzę na temat klasyfikacji materiałów oraz analizuje ich przydatność w zależności od funkcji pomieszczenia.</w:t>
            </w:r>
          </w:p>
        </w:tc>
        <w:tc>
          <w:tcPr>
            <w:tcW w:w="1559" w:type="dxa"/>
            <w:vAlign w:val="center"/>
          </w:tcPr>
          <w:p w14:paraId="1C3720F2" w14:textId="16F1B9D2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7BED582F" w14:textId="52727CA3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  <w:tr w:rsidR="00FF1E21" w:rsidRPr="00B66610" w14:paraId="1630D811" w14:textId="77777777" w:rsidTr="00FF1E21">
        <w:tc>
          <w:tcPr>
            <w:tcW w:w="562" w:type="dxa"/>
            <w:vAlign w:val="center"/>
          </w:tcPr>
          <w:p w14:paraId="005A970B" w14:textId="79743432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0D2460C5" w:rsidR="00FF1E21" w:rsidRPr="00B66610" w:rsidRDefault="00FF1E21" w:rsidP="00FF1E21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zna właściwości poszczególnych materiałów w kontekście ich przeznaczenia.</w:t>
            </w:r>
          </w:p>
        </w:tc>
        <w:tc>
          <w:tcPr>
            <w:tcW w:w="1559" w:type="dxa"/>
            <w:vAlign w:val="center"/>
          </w:tcPr>
          <w:p w14:paraId="644EBECC" w14:textId="47A11A17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AW_WG13</w:t>
            </w:r>
          </w:p>
        </w:tc>
        <w:tc>
          <w:tcPr>
            <w:tcW w:w="2551" w:type="dxa"/>
            <w:vAlign w:val="center"/>
          </w:tcPr>
          <w:p w14:paraId="3BFA8E46" w14:textId="0A72CADC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</w:tbl>
    <w:p w14:paraId="4D38F383" w14:textId="77777777" w:rsidR="00DC6302" w:rsidRPr="00B66610" w:rsidRDefault="00DC6302" w:rsidP="00DC6302">
      <w:pPr>
        <w:pStyle w:val="Nagwek3"/>
        <w:rPr>
          <w:lang w:val="pl-PL"/>
        </w:rPr>
      </w:pPr>
      <w:bookmarkStart w:id="3" w:name="_Hlk218767112"/>
      <w:r w:rsidRPr="00B66610">
        <w:rPr>
          <w:lang w:val="pl-PL"/>
        </w:rPr>
        <w:t>Umiejętności</w:t>
      </w:r>
    </w:p>
    <w:bookmarkEnd w:id="3"/>
    <w:p w14:paraId="1A760AFE" w14:textId="43BEB3BC" w:rsidR="00C02347" w:rsidRPr="00B66610" w:rsidRDefault="00C02347" w:rsidP="00DC6302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4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B66610" w14:paraId="0EE5369D" w14:textId="77777777" w:rsidTr="00FF1E21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B66610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B66610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B66610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B66610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FF1E21" w:rsidRPr="00B66610" w14:paraId="145604BE" w14:textId="77777777" w:rsidTr="00FF1E21">
        <w:tc>
          <w:tcPr>
            <w:tcW w:w="562" w:type="dxa"/>
            <w:vAlign w:val="center"/>
          </w:tcPr>
          <w:p w14:paraId="0A6CEE65" w14:textId="77777777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2BFF2645" w:rsidR="00FF1E21" w:rsidRPr="00B66610" w:rsidRDefault="00FF1E21" w:rsidP="00FF1E21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potrafi prawidłowo wykorzystać materiały wykończeniowe w zależności od miejsca ich zastosowania</w:t>
            </w:r>
          </w:p>
        </w:tc>
        <w:tc>
          <w:tcPr>
            <w:tcW w:w="1560" w:type="dxa"/>
            <w:vAlign w:val="center"/>
          </w:tcPr>
          <w:p w14:paraId="17A36E66" w14:textId="766BEAAC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641BAA02" w14:textId="2516BEDF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  <w:tr w:rsidR="00FF1E21" w:rsidRPr="00B66610" w14:paraId="3621BD52" w14:textId="77777777" w:rsidTr="00FF1E21">
        <w:tc>
          <w:tcPr>
            <w:tcW w:w="562" w:type="dxa"/>
            <w:vAlign w:val="center"/>
          </w:tcPr>
          <w:p w14:paraId="739E7F63" w14:textId="6D596C8D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74A54A8C" w:rsidR="00FF1E21" w:rsidRPr="00B66610" w:rsidRDefault="00FF1E21" w:rsidP="00FF1E21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potrafi samodzielnie i krytycznie ocenić zależności między doborem metod, technik, materiałów, a rozwiązaniami funkcjonalnymi w projektowanych układach przestrzennych wnętrz</w:t>
            </w:r>
          </w:p>
        </w:tc>
        <w:tc>
          <w:tcPr>
            <w:tcW w:w="1560" w:type="dxa"/>
            <w:vAlign w:val="center"/>
          </w:tcPr>
          <w:p w14:paraId="207F4B83" w14:textId="0429DF63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4E8096B0" w14:textId="556B9CA0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  <w:tr w:rsidR="00FF1E21" w:rsidRPr="00B66610" w14:paraId="0FAD0B44" w14:textId="77777777" w:rsidTr="00FF1E21">
        <w:tc>
          <w:tcPr>
            <w:tcW w:w="562" w:type="dxa"/>
            <w:vAlign w:val="center"/>
          </w:tcPr>
          <w:p w14:paraId="1B5A9364" w14:textId="78F6ABF6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1C6480CA" w:rsidR="00FF1E21" w:rsidRPr="00B66610" w:rsidRDefault="00FF1E21" w:rsidP="00FF1E21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potrafi samodzielnie dostosować rozwiązanie projektowe przez dobór właściwej metody, techniki i materiału dla określonego projektu wnętrz</w:t>
            </w:r>
          </w:p>
        </w:tc>
        <w:tc>
          <w:tcPr>
            <w:tcW w:w="1560" w:type="dxa"/>
            <w:vAlign w:val="center"/>
          </w:tcPr>
          <w:p w14:paraId="15B90FEF" w14:textId="56AD96FB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77A4FDE4" w14:textId="5C85ED9A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  <w:tr w:rsidR="00FF1E21" w:rsidRPr="00B66610" w14:paraId="0E176D57" w14:textId="77777777" w:rsidTr="00FF1E21">
        <w:tc>
          <w:tcPr>
            <w:tcW w:w="562" w:type="dxa"/>
            <w:vAlign w:val="center"/>
          </w:tcPr>
          <w:p w14:paraId="2E23B2D4" w14:textId="75D853D2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U4</w:t>
            </w:r>
          </w:p>
        </w:tc>
        <w:tc>
          <w:tcPr>
            <w:tcW w:w="5811" w:type="dxa"/>
            <w:vAlign w:val="center"/>
          </w:tcPr>
          <w:p w14:paraId="2A904DCD" w14:textId="217AB516" w:rsidR="00FF1E21" w:rsidRPr="00B66610" w:rsidRDefault="00FF1E21" w:rsidP="00FF1E21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wykazuje samodzielność i jest proaktywny w</w:t>
            </w:r>
            <w:r w:rsidR="00560E17">
              <w:rPr>
                <w:sz w:val="20"/>
                <w:szCs w:val="20"/>
                <w:lang w:val="pl-PL"/>
              </w:rPr>
              <w:t> </w:t>
            </w:r>
            <w:r w:rsidRPr="00B66610">
              <w:rPr>
                <w:sz w:val="20"/>
                <w:szCs w:val="20"/>
                <w:lang w:val="pl-PL"/>
              </w:rPr>
              <w:t>rozwiązywaniu zagadnień projektowych dotyczących realizacji oraz prezentacji rozwiązań z zakresu architektury wnętrz</w:t>
            </w:r>
          </w:p>
        </w:tc>
        <w:tc>
          <w:tcPr>
            <w:tcW w:w="1560" w:type="dxa"/>
            <w:vAlign w:val="center"/>
          </w:tcPr>
          <w:p w14:paraId="7D0582B1" w14:textId="29266969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5773BC9B" w14:textId="41A6B0A5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</w:t>
            </w:r>
          </w:p>
        </w:tc>
      </w:tr>
    </w:tbl>
    <w:p w14:paraId="40EDF748" w14:textId="77777777" w:rsidR="00DC6302" w:rsidRPr="00B66610" w:rsidRDefault="00DC6302" w:rsidP="00DC6302">
      <w:pPr>
        <w:pStyle w:val="Nagwek3"/>
        <w:rPr>
          <w:lang w:val="pl-PL"/>
        </w:rPr>
      </w:pPr>
      <w:bookmarkStart w:id="4" w:name="_Hlk218767148"/>
      <w:r w:rsidRPr="00B66610">
        <w:rPr>
          <w:lang w:val="pl-PL"/>
        </w:rPr>
        <w:lastRenderedPageBreak/>
        <w:t>Kompetencje społeczne</w:t>
      </w:r>
    </w:p>
    <w:bookmarkEnd w:id="4"/>
    <w:p w14:paraId="4300A3B9" w14:textId="023C1484" w:rsidR="00C02347" w:rsidRPr="00B66610" w:rsidRDefault="00C02347" w:rsidP="00DC6302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5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Efekty uczenia się w zakresie </w:t>
      </w:r>
      <w:r w:rsidR="00DC6302" w:rsidRPr="00B66610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B66610" w14:paraId="484CBB21" w14:textId="77777777" w:rsidTr="00FF1E21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B66610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B66610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B66610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B66610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FF1E21" w:rsidRPr="00B66610" w14:paraId="0ABA5902" w14:textId="77777777" w:rsidTr="00FF1E21">
        <w:tc>
          <w:tcPr>
            <w:tcW w:w="562" w:type="dxa"/>
            <w:vAlign w:val="center"/>
          </w:tcPr>
          <w:p w14:paraId="42B3C2E2" w14:textId="77777777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12579E67" w:rsidR="00FF1E21" w:rsidRPr="00B66610" w:rsidRDefault="00FF1E21" w:rsidP="00FF1E21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Student jest gotów do ciągłego aktualizowania wiedzy o nowych technologiach i materiałach ekologicznych, korzystając z wiedzy ekspertów i producentów.</w:t>
            </w:r>
          </w:p>
        </w:tc>
        <w:tc>
          <w:tcPr>
            <w:tcW w:w="1559" w:type="dxa"/>
            <w:vAlign w:val="center"/>
          </w:tcPr>
          <w:p w14:paraId="13EBBA0C" w14:textId="466483B9" w:rsidR="00FF1E21" w:rsidRPr="00B66610" w:rsidRDefault="00FF1E21" w:rsidP="00FF1E21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191E33CA" w:rsidR="00FF1E21" w:rsidRPr="00B66610" w:rsidRDefault="00FF1E21" w:rsidP="00FF1E2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zadań / ćwiczeń / projektu podczas zajęć / poza zajęciami; aktywność podczas zajęć</w:t>
            </w:r>
          </w:p>
        </w:tc>
      </w:tr>
    </w:tbl>
    <w:p w14:paraId="64D8F10A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Treści kształcenia</w:t>
      </w:r>
    </w:p>
    <w:p w14:paraId="487F1E02" w14:textId="51898CBB" w:rsidR="005763AD" w:rsidRPr="00B66610" w:rsidRDefault="005763AD" w:rsidP="005763AD">
      <w:pPr>
        <w:pStyle w:val="Legenda"/>
        <w:keepNext/>
        <w:rPr>
          <w:lang w:val="pl-PL"/>
        </w:rPr>
      </w:pPr>
      <w:bookmarkStart w:id="5" w:name="_Hlk81320153"/>
      <w:bookmarkStart w:id="6" w:name="_Hlk214631561"/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6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5763AD" w:rsidRPr="00B66610" w14:paraId="07FE3A54" w14:textId="77777777" w:rsidTr="00B66610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4FAF1F4C" w14:textId="77777777" w:rsidR="005763AD" w:rsidRPr="00B66610" w:rsidRDefault="005763AD" w:rsidP="002F5933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C508805" w14:textId="77777777" w:rsidR="005763AD" w:rsidRPr="00B66610" w:rsidRDefault="005763AD" w:rsidP="002F5933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087EE064" w14:textId="121F9B99" w:rsidR="005763AD" w:rsidRPr="00B66610" w:rsidRDefault="005763AD" w:rsidP="002F5933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D3184F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06731521" w14:textId="1697A70A" w:rsidR="005763AD" w:rsidRPr="00B66610" w:rsidRDefault="005763AD" w:rsidP="002F5933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D3184F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B66610" w:rsidRPr="00B66610" w14:paraId="4AB3FE12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3F1069DA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256B7D00" w14:textId="77777777" w:rsidR="00B66610" w:rsidRPr="00B66610" w:rsidRDefault="00B66610" w:rsidP="00B6661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Times New Roman" w:cstheme="minorHAnsi"/>
                <w:sz w:val="20"/>
                <w:szCs w:val="20"/>
                <w:lang w:val="pl-PL"/>
              </w:rPr>
              <w:t>Analiza i klasyfikacja materiałów wykorzystywanych w projektowaniu architektury wnętrz z uwzględnieniem ich funkcji użytkowej, estetycznej oraz technicznej. Systematyka pojęć.</w:t>
            </w:r>
          </w:p>
          <w:p w14:paraId="73B9B904" w14:textId="65C28325" w:rsidR="00B66610" w:rsidRPr="00B66610" w:rsidRDefault="00B66610" w:rsidP="00B6661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Times New Roman" w:cstheme="minorHAnsi"/>
                <w:sz w:val="20"/>
                <w:szCs w:val="20"/>
                <w:lang w:val="pl-PL"/>
              </w:rPr>
              <w:t>Krytyczne podejście do wyboru materiałów i technologii pod kątem funkcji, trwałości, ekologii i estetyki. Ćwiczenia z użyciem prezentacji</w:t>
            </w:r>
          </w:p>
        </w:tc>
        <w:tc>
          <w:tcPr>
            <w:tcW w:w="979" w:type="pct"/>
            <w:vAlign w:val="center"/>
          </w:tcPr>
          <w:p w14:paraId="36FBD314" w14:textId="18819045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5DD6D38" w14:textId="348A7DB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1</w:t>
            </w:r>
          </w:p>
        </w:tc>
      </w:tr>
      <w:tr w:rsidR="00B66610" w:rsidRPr="00B66610" w14:paraId="79F2D67A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7626D4C6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ABDA0C5" w14:textId="722E01F9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Materiały naturalne (kamień, drewno, ceramika, szkło, tkaniny naturalne) i ich właściwości. Doświadczenia z próbkami materiałowymi</w:t>
            </w:r>
          </w:p>
        </w:tc>
        <w:tc>
          <w:tcPr>
            <w:tcW w:w="979" w:type="pct"/>
            <w:vAlign w:val="center"/>
          </w:tcPr>
          <w:p w14:paraId="67CD94AF" w14:textId="30D3E020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54CDE5B9" w14:textId="6D5F6A56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</w:tr>
      <w:tr w:rsidR="00B66610" w:rsidRPr="00B66610" w14:paraId="57C6F8FD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741AF237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48CB1766" w14:textId="6A0E9DFF" w:rsidR="00B66610" w:rsidRPr="00B66610" w:rsidRDefault="00B66610" w:rsidP="00B6661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Materiały syntetyczne (kompozyty, laminaty, tworzywa sztuczne, tkaniny syntetyczne) i ich właściwości. Doświadczenia z próbkami materiałowymi</w:t>
            </w:r>
          </w:p>
        </w:tc>
        <w:tc>
          <w:tcPr>
            <w:tcW w:w="979" w:type="pct"/>
            <w:vAlign w:val="center"/>
          </w:tcPr>
          <w:p w14:paraId="324D81CB" w14:textId="31B71FEC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62790523" w14:textId="7D44F00D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</w:tr>
      <w:tr w:rsidR="00B66610" w:rsidRPr="00B66610" w14:paraId="42D44C31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074AE39F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5F0AF8D7" w14:textId="4DD0393F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Materiały wykończeniowe podłóg (pomieszczenia mokre / suche) Praca z próbkami materiałowymi</w:t>
            </w:r>
          </w:p>
        </w:tc>
        <w:tc>
          <w:tcPr>
            <w:tcW w:w="979" w:type="pct"/>
            <w:vAlign w:val="center"/>
          </w:tcPr>
          <w:p w14:paraId="42F94525" w14:textId="752BAEAD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FDE6BA3" w14:textId="4E3131EB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1</w:t>
            </w:r>
          </w:p>
        </w:tc>
      </w:tr>
      <w:tr w:rsidR="00B66610" w:rsidRPr="00B66610" w14:paraId="043D058F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3168BE71" w14:textId="6C10A54A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02B58DA3" w14:textId="77777777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Materiały wykończeniowe ścian (pomieszczenia mokre / suche)</w:t>
            </w:r>
          </w:p>
          <w:p w14:paraId="1A5EB125" w14:textId="4830F828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Praca z próbkami materiałowymi</w:t>
            </w:r>
          </w:p>
        </w:tc>
        <w:tc>
          <w:tcPr>
            <w:tcW w:w="979" w:type="pct"/>
            <w:vAlign w:val="center"/>
          </w:tcPr>
          <w:p w14:paraId="3DBEA5D8" w14:textId="5054DBBD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5ED1B4C" w14:textId="627EB38E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1</w:t>
            </w:r>
          </w:p>
        </w:tc>
      </w:tr>
      <w:tr w:rsidR="00B66610" w:rsidRPr="00B66610" w14:paraId="16853518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436EE414" w14:textId="55A1FCD8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1030A145" w14:textId="19AD014F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Materiały wykończeniowe sufitów (pomieszczenia mokre / suche) Praca z próbkami materiałowymi</w:t>
            </w:r>
          </w:p>
        </w:tc>
        <w:tc>
          <w:tcPr>
            <w:tcW w:w="979" w:type="pct"/>
            <w:vAlign w:val="center"/>
          </w:tcPr>
          <w:p w14:paraId="34A78AEA" w14:textId="31BB3CE2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A890B5A" w14:textId="771B6BF6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1</w:t>
            </w:r>
          </w:p>
        </w:tc>
      </w:tr>
      <w:tr w:rsidR="00B66610" w:rsidRPr="00B66610" w14:paraId="4E46D9A0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18C67639" w14:textId="426DD923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30D25C99" w14:textId="53E07A59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Materiały stosowane w elementach wyposażenia wnętrz i</w:t>
            </w:r>
            <w:r>
              <w:rPr>
                <w:rFonts w:cstheme="minorHAnsi"/>
                <w:sz w:val="20"/>
                <w:szCs w:val="20"/>
                <w:lang w:val="pl-PL"/>
              </w:rPr>
              <w:t> </w:t>
            </w:r>
            <w:r w:rsidRPr="00B66610">
              <w:rPr>
                <w:rFonts w:cstheme="minorHAnsi"/>
                <w:sz w:val="20"/>
                <w:szCs w:val="20"/>
                <w:lang w:val="pl-PL"/>
              </w:rPr>
              <w:t>meblarstwie. Blaty, fronty, korpusy. Analiza relacji pomiędzy strukturą materiału a konstrukcją, wagą, fakturą i sposobem wykończenia powierzchni.</w:t>
            </w:r>
          </w:p>
          <w:p w14:paraId="10B219A3" w14:textId="1D17E0F5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Praca z próbkami materiałowymi</w:t>
            </w:r>
          </w:p>
        </w:tc>
        <w:tc>
          <w:tcPr>
            <w:tcW w:w="979" w:type="pct"/>
            <w:vAlign w:val="center"/>
          </w:tcPr>
          <w:p w14:paraId="1B8E4D25" w14:textId="7209AF9B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D32507E" w14:textId="78A2B53B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</w:tr>
      <w:tr w:rsidR="00B66610" w:rsidRPr="00B66610" w14:paraId="0BA2553E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76D6A0DB" w14:textId="0B2FF86C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6B3D20F7" w14:textId="77777777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Problematyka właściwego doboru materiałów do kontekstu funkcjonalnego i estetycznego przestrzeni.</w:t>
            </w:r>
          </w:p>
          <w:p w14:paraId="232690C1" w14:textId="77777777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Wpływ doboru materiału na komfort użytkowania i charakter wnętrza.</w:t>
            </w:r>
          </w:p>
          <w:p w14:paraId="22E5D777" w14:textId="381DE5C1" w:rsidR="00B66610" w:rsidRPr="00B66610" w:rsidRDefault="00B66610" w:rsidP="00B666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</w:rPr>
              <w:t>Moodboard</w:t>
            </w:r>
            <w:r w:rsidRPr="00B66610">
              <w:rPr>
                <w:rFonts w:cstheme="minorHAnsi"/>
                <w:sz w:val="20"/>
                <w:szCs w:val="20"/>
                <w:lang w:val="pl-PL"/>
              </w:rPr>
              <w:t xml:space="preserve"> materiałowy jako narzędzie wspomagające proces projektowy – przygotowanie autorskich zestawień materiałowych</w:t>
            </w:r>
          </w:p>
        </w:tc>
        <w:tc>
          <w:tcPr>
            <w:tcW w:w="979" w:type="pct"/>
            <w:vAlign w:val="center"/>
          </w:tcPr>
          <w:p w14:paraId="6687A4E7" w14:textId="150F963E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80" w:type="pct"/>
            <w:vAlign w:val="center"/>
          </w:tcPr>
          <w:p w14:paraId="7CCE265A" w14:textId="12037B1A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</w:tr>
      <w:tr w:rsidR="00B66610" w:rsidRPr="00B66610" w14:paraId="40137642" w14:textId="77777777" w:rsidTr="00B66610">
        <w:trPr>
          <w:trHeight w:val="273"/>
        </w:trPr>
        <w:tc>
          <w:tcPr>
            <w:tcW w:w="268" w:type="pct"/>
            <w:vAlign w:val="center"/>
          </w:tcPr>
          <w:p w14:paraId="2DB11C65" w14:textId="4A59FF81" w:rsidR="00B66610" w:rsidRPr="00B66610" w:rsidRDefault="00B66610" w:rsidP="00B66610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7E9B10ED" w14:textId="6E03F347" w:rsidR="00B66610" w:rsidRPr="00B66610" w:rsidRDefault="00B66610" w:rsidP="00B66610">
            <w:pPr>
              <w:keepNext/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Prezentacja i omówienie przygotowanych moodboardów materiałowych</w:t>
            </w:r>
          </w:p>
        </w:tc>
        <w:tc>
          <w:tcPr>
            <w:tcW w:w="979" w:type="pct"/>
            <w:vAlign w:val="center"/>
          </w:tcPr>
          <w:p w14:paraId="1DE543D1" w14:textId="2A965F3A" w:rsidR="00B66610" w:rsidRPr="00B66610" w:rsidRDefault="00B66610" w:rsidP="00B66610">
            <w:pPr>
              <w:keepNext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7F677C2B" w14:textId="65CFF22F" w:rsidR="00B66610" w:rsidRPr="00B66610" w:rsidRDefault="00B66610" w:rsidP="00B66610">
            <w:pPr>
              <w:keepNext/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2</w:t>
            </w:r>
          </w:p>
        </w:tc>
      </w:tr>
      <w:tr w:rsidR="00B66610" w:rsidRPr="00B66610" w14:paraId="668C7F58" w14:textId="77777777" w:rsidTr="00B66610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657BD6EE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5AF14E36" w14:textId="77777777" w:rsidR="00B66610" w:rsidRPr="00B66610" w:rsidRDefault="00B66610" w:rsidP="00B66610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76526114" w14:textId="6C867244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516338F2" w14:textId="510A882A" w:rsidR="00B66610" w:rsidRPr="00B66610" w:rsidRDefault="00B66610" w:rsidP="00B666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B66610" w:rsidRDefault="00C02347" w:rsidP="006449AD">
      <w:pPr>
        <w:pStyle w:val="Nagwek2"/>
        <w:rPr>
          <w:lang w:val="pl-PL"/>
        </w:rPr>
      </w:pPr>
      <w:r w:rsidRPr="00B66610">
        <w:rPr>
          <w:lang w:val="pl-PL"/>
        </w:rPr>
        <w:lastRenderedPageBreak/>
        <w:t>Metody kształcenia</w:t>
      </w:r>
      <w:bookmarkStart w:id="7" w:name="_GoBack"/>
      <w:bookmarkEnd w:id="7"/>
    </w:p>
    <w:bookmarkEnd w:id="5"/>
    <w:p w14:paraId="71FE06A6" w14:textId="39AE738C" w:rsidR="00C02347" w:rsidRPr="00B66610" w:rsidRDefault="00C02347" w:rsidP="00C02347">
      <w:pPr>
        <w:rPr>
          <w:rFonts w:cstheme="minorHAnsi"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Metody podające: </w:t>
      </w:r>
      <w:r w:rsidRPr="00B66610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B66610">
        <w:rPr>
          <w:rFonts w:cstheme="minorHAnsi"/>
          <w:lang w:val="pl-PL"/>
        </w:rPr>
        <w:t>mikrowykład</w:t>
      </w:r>
      <w:proofErr w:type="spellEnd"/>
      <w:r w:rsidRPr="00B66610">
        <w:rPr>
          <w:rFonts w:cstheme="minorHAnsi"/>
          <w:lang w:val="pl-PL"/>
        </w:rPr>
        <w:t>, opis, prelekcja, objaśnianie lub wyjaśnianie</w:t>
      </w:r>
    </w:p>
    <w:p w14:paraId="39520B49" w14:textId="77777777" w:rsidR="00C02347" w:rsidRPr="00B66610" w:rsidRDefault="00C02347" w:rsidP="00C02347">
      <w:pPr>
        <w:rPr>
          <w:rFonts w:cstheme="minorHAnsi"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Metody problemowe: </w:t>
      </w:r>
      <w:r w:rsidRPr="00B66610">
        <w:rPr>
          <w:rFonts w:cstheme="minorHAnsi"/>
          <w:lang w:val="pl-PL"/>
        </w:rPr>
        <w:t>klasyczna metoda problemowa</w:t>
      </w:r>
    </w:p>
    <w:p w14:paraId="1B87C876" w14:textId="77777777" w:rsidR="00C02347" w:rsidRPr="00B66610" w:rsidRDefault="00C02347" w:rsidP="00C02347">
      <w:pPr>
        <w:rPr>
          <w:rFonts w:cstheme="minorHAnsi"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Metody aktywizujące: </w:t>
      </w:r>
      <w:r w:rsidRPr="00B66610">
        <w:rPr>
          <w:rFonts w:cstheme="minorHAnsi"/>
          <w:lang w:val="pl-PL"/>
        </w:rPr>
        <w:t>analiza przypadków, dyskusja dydaktyczna, debata, burza mózgów</w:t>
      </w:r>
    </w:p>
    <w:p w14:paraId="432221A5" w14:textId="77777777" w:rsidR="00C02347" w:rsidRPr="00B66610" w:rsidRDefault="00C02347" w:rsidP="00C02347">
      <w:pPr>
        <w:rPr>
          <w:rFonts w:cstheme="minorHAnsi"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Metody eksponujące: </w:t>
      </w:r>
      <w:r w:rsidRPr="00B66610">
        <w:rPr>
          <w:rFonts w:cstheme="minorHAnsi"/>
          <w:lang w:val="pl-PL"/>
        </w:rPr>
        <w:t>film, film edukacyjny</w:t>
      </w:r>
    </w:p>
    <w:p w14:paraId="0F719B6C" w14:textId="6E93FD7B" w:rsidR="00C02347" w:rsidRPr="00B66610" w:rsidRDefault="00C02347" w:rsidP="00C02347">
      <w:pPr>
        <w:rPr>
          <w:rFonts w:cstheme="minorHAnsi"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Metody praktyczne: </w:t>
      </w:r>
      <w:r w:rsidRPr="00B66610">
        <w:rPr>
          <w:rFonts w:cstheme="minorHAnsi"/>
          <w:lang w:val="pl-PL"/>
        </w:rPr>
        <w:t>pokaz, ćwiczenia / zadania przedmiotowe</w:t>
      </w:r>
      <w:r w:rsidR="00B66610" w:rsidRPr="00B66610">
        <w:rPr>
          <w:rFonts w:cstheme="minorHAnsi"/>
          <w:lang w:val="pl-PL"/>
        </w:rPr>
        <w:t xml:space="preserve"> / zadania produkcyjne (wytwórcze), metoda projektu</w:t>
      </w:r>
    </w:p>
    <w:p w14:paraId="146447F8" w14:textId="77777777" w:rsidR="00C02347" w:rsidRPr="00B66610" w:rsidRDefault="00C02347" w:rsidP="00C02347">
      <w:pPr>
        <w:rPr>
          <w:rFonts w:cstheme="minorHAnsi"/>
          <w:b/>
          <w:bCs/>
          <w:lang w:val="pl-PL"/>
        </w:rPr>
      </w:pPr>
      <w:r w:rsidRPr="00B66610">
        <w:rPr>
          <w:rFonts w:cstheme="minorHAnsi"/>
          <w:b/>
          <w:bCs/>
          <w:lang w:val="pl-PL"/>
        </w:rPr>
        <w:t xml:space="preserve">Formy pracy: </w:t>
      </w:r>
      <w:r w:rsidRPr="00B66610">
        <w:rPr>
          <w:rFonts w:cstheme="minorHAnsi"/>
          <w:lang w:val="pl-PL"/>
        </w:rPr>
        <w:t>indywidualna, w małych grupach</w:t>
      </w:r>
    </w:p>
    <w:bookmarkEnd w:id="6"/>
    <w:p w14:paraId="66299E61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Warunki zaliczenia</w:t>
      </w:r>
    </w:p>
    <w:p w14:paraId="731FC1A9" w14:textId="31BA07E7" w:rsidR="00B66610" w:rsidRPr="00B66610" w:rsidRDefault="00B66610" w:rsidP="00B66610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7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B66610" w:rsidRPr="00B66610" w14:paraId="3BA39915" w14:textId="77777777" w:rsidTr="00B66610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24555879" w14:textId="77777777" w:rsidR="00B66610" w:rsidRPr="00B66610" w:rsidRDefault="00B66610" w:rsidP="002F593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792FD8F8" w14:textId="77777777" w:rsidR="00B66610" w:rsidRPr="00B66610" w:rsidRDefault="00B66610" w:rsidP="002F5933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B66610">
              <w:rPr>
                <w:b/>
                <w:sz w:val="20"/>
                <w:szCs w:val="20"/>
                <w:lang w:val="pl-PL"/>
              </w:rPr>
              <w:t>Wagi (%)</w:t>
            </w:r>
            <w:r w:rsidRPr="00B6661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B66610" w:rsidRPr="00B66610" w14:paraId="0B6E3A2F" w14:textId="77777777" w:rsidTr="00B66610">
        <w:trPr>
          <w:trHeight w:val="263"/>
        </w:trPr>
        <w:tc>
          <w:tcPr>
            <w:tcW w:w="3942" w:type="pct"/>
            <w:vAlign w:val="center"/>
          </w:tcPr>
          <w:p w14:paraId="590A754F" w14:textId="332F9D40" w:rsidR="00B66610" w:rsidRPr="00B66610" w:rsidRDefault="00B66610" w:rsidP="00B66610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vAlign w:val="center"/>
          </w:tcPr>
          <w:p w14:paraId="01433C55" w14:textId="4CD22FE4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B66610" w:rsidRPr="00B66610" w14:paraId="16243E26" w14:textId="77777777" w:rsidTr="00B66610">
        <w:trPr>
          <w:trHeight w:val="263"/>
        </w:trPr>
        <w:tc>
          <w:tcPr>
            <w:tcW w:w="3942" w:type="pct"/>
            <w:vAlign w:val="center"/>
          </w:tcPr>
          <w:p w14:paraId="0E347F31" w14:textId="3D6602C6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Ćwiczenia wykonywane poza zajęciami</w:t>
            </w:r>
          </w:p>
        </w:tc>
        <w:tc>
          <w:tcPr>
            <w:tcW w:w="1058" w:type="pct"/>
            <w:vAlign w:val="center"/>
          </w:tcPr>
          <w:p w14:paraId="0F0035FF" w14:textId="2C28EF0D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B66610" w:rsidRPr="00B66610" w14:paraId="312F4EAC" w14:textId="77777777" w:rsidTr="00B66610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0770E85D" w14:textId="77777777" w:rsidR="00B66610" w:rsidRPr="00B66610" w:rsidRDefault="00B66610" w:rsidP="002F5933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118EDFE0" w14:textId="77777777" w:rsidR="00B66610" w:rsidRPr="00B66610" w:rsidRDefault="00B66610" w:rsidP="002F59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B6661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t>Rozliczenie pracy własnej studenta</w:t>
      </w:r>
    </w:p>
    <w:p w14:paraId="29E75CBA" w14:textId="42791C9D" w:rsidR="00C02347" w:rsidRPr="00B66610" w:rsidRDefault="00C02347" w:rsidP="00C02347">
      <w:pPr>
        <w:pStyle w:val="Legenda"/>
        <w:keepNext/>
        <w:rPr>
          <w:lang w:val="pl-PL"/>
        </w:rPr>
      </w:pPr>
      <w:r w:rsidRPr="00B66610">
        <w:rPr>
          <w:b/>
          <w:lang w:val="pl-PL"/>
        </w:rPr>
        <w:t xml:space="preserve">Tabela </w:t>
      </w:r>
      <w:r w:rsidRPr="00B66610">
        <w:rPr>
          <w:b/>
          <w:lang w:val="pl-PL"/>
        </w:rPr>
        <w:fldChar w:fldCharType="begin"/>
      </w:r>
      <w:r w:rsidRPr="00B66610">
        <w:rPr>
          <w:b/>
          <w:lang w:val="pl-PL"/>
        </w:rPr>
        <w:instrText xml:space="preserve"> SEQ Tabela \* ARABIC </w:instrText>
      </w:r>
      <w:r w:rsidRPr="00B66610">
        <w:rPr>
          <w:b/>
          <w:lang w:val="pl-PL"/>
        </w:rPr>
        <w:fldChar w:fldCharType="separate"/>
      </w:r>
      <w:r w:rsidR="00957E92">
        <w:rPr>
          <w:b/>
          <w:noProof/>
          <w:lang w:val="pl-PL"/>
        </w:rPr>
        <w:t>8</w:t>
      </w:r>
      <w:r w:rsidRPr="00B66610">
        <w:rPr>
          <w:b/>
          <w:lang w:val="pl-PL"/>
        </w:rPr>
        <w:fldChar w:fldCharType="end"/>
      </w:r>
      <w:r w:rsidRPr="00B66610">
        <w:rPr>
          <w:b/>
          <w:lang w:val="pl-PL"/>
        </w:rPr>
        <w:t>.</w:t>
      </w:r>
      <w:r w:rsidRPr="00B6661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B66610" w14:paraId="20E406A7" w14:textId="77777777" w:rsidTr="00B66610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B6661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B6661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B6661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B66610" w:rsidRPr="00B66610" w14:paraId="768C7D64" w14:textId="77777777" w:rsidTr="00B66610">
        <w:trPr>
          <w:trHeight w:val="405"/>
        </w:trPr>
        <w:tc>
          <w:tcPr>
            <w:tcW w:w="3424" w:type="pct"/>
            <w:vAlign w:val="center"/>
          </w:tcPr>
          <w:p w14:paraId="66DFFA46" w14:textId="4826AADE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788" w:type="pct"/>
            <w:vAlign w:val="center"/>
          </w:tcPr>
          <w:p w14:paraId="399145D1" w14:textId="58BC6967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15303C78" w14:textId="469AA9A3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7</w:t>
            </w:r>
          </w:p>
        </w:tc>
      </w:tr>
      <w:tr w:rsidR="00B66610" w:rsidRPr="00B66610" w14:paraId="458984B9" w14:textId="77777777" w:rsidTr="00B66610">
        <w:trPr>
          <w:trHeight w:val="405"/>
        </w:trPr>
        <w:tc>
          <w:tcPr>
            <w:tcW w:w="3424" w:type="pct"/>
            <w:vAlign w:val="center"/>
          </w:tcPr>
          <w:p w14:paraId="06B34F35" w14:textId="33D35838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76F93C7F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1528491C" w14:textId="660E3D98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7</w:t>
            </w:r>
          </w:p>
        </w:tc>
      </w:tr>
      <w:tr w:rsidR="00B66610" w:rsidRPr="00B66610" w14:paraId="69D1EEA1" w14:textId="77777777" w:rsidTr="00B66610">
        <w:trPr>
          <w:trHeight w:val="405"/>
        </w:trPr>
        <w:tc>
          <w:tcPr>
            <w:tcW w:w="3424" w:type="pct"/>
            <w:vAlign w:val="center"/>
          </w:tcPr>
          <w:p w14:paraId="47B586F9" w14:textId="6B846BEF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Przygotowanie planszy materiałowej (</w:t>
            </w:r>
            <w:proofErr w:type="spellStart"/>
            <w:r w:rsidRPr="00B66610">
              <w:rPr>
                <w:sz w:val="20"/>
                <w:szCs w:val="20"/>
              </w:rPr>
              <w:t>moodboard</w:t>
            </w:r>
            <w:proofErr w:type="spellEnd"/>
            <w:r w:rsidRPr="00B66610">
              <w:rPr>
                <w:sz w:val="20"/>
                <w:szCs w:val="20"/>
                <w:lang w:val="pl-PL"/>
              </w:rPr>
              <w:t>).</w:t>
            </w:r>
          </w:p>
        </w:tc>
        <w:tc>
          <w:tcPr>
            <w:tcW w:w="788" w:type="pct"/>
            <w:vAlign w:val="center"/>
          </w:tcPr>
          <w:p w14:paraId="1A07C92A" w14:textId="3A8DD355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788" w:type="pct"/>
            <w:vAlign w:val="center"/>
          </w:tcPr>
          <w:p w14:paraId="37BD0768" w14:textId="59CE398B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14</w:t>
            </w:r>
          </w:p>
        </w:tc>
      </w:tr>
      <w:tr w:rsidR="00B66610" w:rsidRPr="00B66610" w14:paraId="67714877" w14:textId="77777777" w:rsidTr="00B66610">
        <w:trPr>
          <w:trHeight w:val="405"/>
        </w:trPr>
        <w:tc>
          <w:tcPr>
            <w:tcW w:w="3424" w:type="pct"/>
            <w:vAlign w:val="center"/>
          </w:tcPr>
          <w:p w14:paraId="35BC8C20" w14:textId="400CED35" w:rsidR="00B66610" w:rsidRPr="00B66610" w:rsidRDefault="00B66610" w:rsidP="00B6661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D588836" w14:textId="303B3A41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686E3843" w14:textId="287A768F" w:rsidR="00B66610" w:rsidRPr="00B66610" w:rsidRDefault="00B66610" w:rsidP="00B66610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B66610">
              <w:rPr>
                <w:sz w:val="20"/>
                <w:szCs w:val="20"/>
                <w:lang w:val="pl-PL"/>
              </w:rPr>
              <w:t>6</w:t>
            </w:r>
          </w:p>
        </w:tc>
      </w:tr>
      <w:tr w:rsidR="00C02347" w:rsidRPr="00B66610" w14:paraId="68EFE71A" w14:textId="77777777" w:rsidTr="00B66610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B6661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46AD1C3B" w:rsidR="00C02347" w:rsidRPr="00B66610" w:rsidRDefault="00B6661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2</w:t>
            </w:r>
            <w:r w:rsidR="00C02347" w:rsidRPr="00B6661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788" w:type="pct"/>
            <w:vAlign w:val="center"/>
          </w:tcPr>
          <w:p w14:paraId="5977EDF0" w14:textId="4F0404FB" w:rsidR="00C02347" w:rsidRPr="00B66610" w:rsidRDefault="00B6661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B66610">
              <w:rPr>
                <w:rFonts w:cstheme="minorHAnsi"/>
                <w:b/>
                <w:sz w:val="20"/>
                <w:szCs w:val="20"/>
                <w:lang w:val="pl-PL"/>
              </w:rPr>
              <w:t>34</w:t>
            </w:r>
          </w:p>
        </w:tc>
      </w:tr>
    </w:tbl>
    <w:p w14:paraId="5681C542" w14:textId="77777777" w:rsidR="00C02347" w:rsidRPr="00B66610" w:rsidRDefault="00C02347" w:rsidP="00D01BA6">
      <w:pPr>
        <w:pStyle w:val="Nagwek2"/>
        <w:rPr>
          <w:lang w:val="pl-PL"/>
        </w:rPr>
      </w:pPr>
      <w:r w:rsidRPr="00B66610">
        <w:rPr>
          <w:lang w:val="pl-PL"/>
        </w:rPr>
        <w:t>Literatura obowiązkowa</w:t>
      </w:r>
    </w:p>
    <w:p w14:paraId="0FFCE0BF" w14:textId="412D9FC9" w:rsidR="00B66610" w:rsidRPr="00B66610" w:rsidRDefault="00B66610" w:rsidP="00B66610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B66610">
        <w:rPr>
          <w:lang w:val="pl-PL"/>
        </w:rPr>
        <w:t>Kubiński</w:t>
      </w:r>
      <w:r>
        <w:rPr>
          <w:lang w:val="pl-PL"/>
        </w:rPr>
        <w:t xml:space="preserve"> W.</w:t>
      </w:r>
      <w:r w:rsidRPr="00B66610">
        <w:rPr>
          <w:lang w:val="pl-PL"/>
        </w:rPr>
        <w:t>, Materiałoznawstwo. T. 1, Podstawowe materiały stosowane w technice, Uczelniane Wydawnictwa Naukowo –Dydaktyczne AGH. Kraków 2010.</w:t>
      </w:r>
    </w:p>
    <w:p w14:paraId="7346AF0A" w14:textId="24A44C8D" w:rsidR="00B66610" w:rsidRPr="00B66610" w:rsidRDefault="00B66610" w:rsidP="00B66610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B66610">
        <w:rPr>
          <w:lang w:val="pl-PL"/>
        </w:rPr>
        <w:t xml:space="preserve">Lefetri Ch., Materials for Design, </w:t>
      </w:r>
      <w:r w:rsidRPr="00B66610">
        <w:t>Laurence King Publishing</w:t>
      </w:r>
      <w:r w:rsidRPr="00B66610">
        <w:rPr>
          <w:lang w:val="pl-PL"/>
        </w:rPr>
        <w:t>, 2014.</w:t>
      </w:r>
    </w:p>
    <w:p w14:paraId="42E04CE8" w14:textId="5DC333BA" w:rsidR="00C02347" w:rsidRPr="00B66610" w:rsidRDefault="00B66610" w:rsidP="00B66610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B66610">
        <w:t>Binggeli</w:t>
      </w:r>
      <w:r w:rsidRPr="00B66610">
        <w:rPr>
          <w:lang w:val="pl-PL"/>
        </w:rPr>
        <w:t xml:space="preserve"> C., </w:t>
      </w:r>
      <w:r w:rsidRPr="00B66610">
        <w:t>Materials for Interior Environments</w:t>
      </w:r>
      <w:r w:rsidRPr="00B66610">
        <w:rPr>
          <w:lang w:val="pl-PL"/>
        </w:rPr>
        <w:t xml:space="preserve">, Wydawnictwo </w:t>
      </w:r>
      <w:r w:rsidRPr="00B66610">
        <w:t>Wiley</w:t>
      </w:r>
      <w:r w:rsidRPr="00B66610">
        <w:rPr>
          <w:lang w:val="pl-PL"/>
        </w:rPr>
        <w:t>, 2023.</w:t>
      </w:r>
    </w:p>
    <w:p w14:paraId="31F330FB" w14:textId="77777777" w:rsidR="00C02347" w:rsidRPr="00B66610" w:rsidRDefault="00C02347" w:rsidP="00C02347">
      <w:pPr>
        <w:pStyle w:val="Nagwek2"/>
        <w:rPr>
          <w:lang w:val="pl-PL"/>
        </w:rPr>
      </w:pPr>
      <w:r w:rsidRPr="00B66610">
        <w:rPr>
          <w:lang w:val="pl-PL"/>
        </w:rPr>
        <w:lastRenderedPageBreak/>
        <w:t>Literatura uzupełniająca</w:t>
      </w:r>
    </w:p>
    <w:p w14:paraId="2EF7010C" w14:textId="77777777" w:rsidR="00B66610" w:rsidRPr="00B66610" w:rsidRDefault="00B66610" w:rsidP="00B66610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B66610">
        <w:rPr>
          <w:lang w:val="pl-PL"/>
        </w:rPr>
        <w:t>Katalogi produktowe wybranych producentów</w:t>
      </w:r>
    </w:p>
    <w:p w14:paraId="6F409FF1" w14:textId="73DC194A" w:rsidR="00B66610" w:rsidRPr="00B66610" w:rsidRDefault="001D4BC3" w:rsidP="00B66610">
      <w:pPr>
        <w:pStyle w:val="Akapitzlist"/>
        <w:numPr>
          <w:ilvl w:val="0"/>
          <w:numId w:val="3"/>
        </w:numPr>
        <w:ind w:left="426"/>
        <w:rPr>
          <w:lang w:val="pl-PL"/>
        </w:rPr>
      </w:pPr>
      <w:hyperlink r:id="rId8" w:history="1">
        <w:r w:rsidR="00B66610" w:rsidRPr="00B66610">
          <w:rPr>
            <w:rStyle w:val="Hipercze"/>
            <w:lang w:val="pl-PL"/>
          </w:rPr>
          <w:t>https://jakbudowac.pl/materialy-wykonczeniowe</w:t>
        </w:r>
      </w:hyperlink>
      <w:r w:rsidR="00B66610" w:rsidRPr="00B66610">
        <w:rPr>
          <w:lang w:val="pl-PL"/>
        </w:rPr>
        <w:t xml:space="preserve"> </w:t>
      </w:r>
    </w:p>
    <w:sectPr w:rsidR="00B66610" w:rsidRPr="00B66610" w:rsidSect="005733FB">
      <w:headerReference w:type="default" r:id="rId9"/>
      <w:footerReference w:type="default" r:id="rId10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652E3" w14:textId="77777777" w:rsidR="001D4BC3" w:rsidRDefault="001D4BC3" w:rsidP="00C02347">
      <w:pPr>
        <w:spacing w:before="0" w:after="0" w:line="240" w:lineRule="auto"/>
      </w:pPr>
      <w:r>
        <w:separator/>
      </w:r>
    </w:p>
  </w:endnote>
  <w:endnote w:type="continuationSeparator" w:id="0">
    <w:p w14:paraId="4F7C763D" w14:textId="77777777" w:rsidR="001D4BC3" w:rsidRDefault="001D4BC3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79EB2BDC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8D37D6">
      <w:rPr>
        <w:b/>
        <w:lang w:val="pl-PL"/>
      </w:rPr>
      <w:t>Materiały i technologie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0949" w14:textId="77777777" w:rsidR="001D4BC3" w:rsidRDefault="001D4BC3" w:rsidP="00C02347">
      <w:pPr>
        <w:spacing w:before="0" w:after="0" w:line="240" w:lineRule="auto"/>
      </w:pPr>
      <w:r>
        <w:separator/>
      </w:r>
    </w:p>
  </w:footnote>
  <w:footnote w:type="continuationSeparator" w:id="0">
    <w:p w14:paraId="231B1777" w14:textId="77777777" w:rsidR="001D4BC3" w:rsidRDefault="001D4BC3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006D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943A6"/>
    <w:rsid w:val="000D6D95"/>
    <w:rsid w:val="001C5B79"/>
    <w:rsid w:val="001D4BC3"/>
    <w:rsid w:val="00212502"/>
    <w:rsid w:val="00220EE2"/>
    <w:rsid w:val="002A0C92"/>
    <w:rsid w:val="0030147C"/>
    <w:rsid w:val="00305375"/>
    <w:rsid w:val="00341F9D"/>
    <w:rsid w:val="00386067"/>
    <w:rsid w:val="00394740"/>
    <w:rsid w:val="0042003B"/>
    <w:rsid w:val="00425222"/>
    <w:rsid w:val="00444E95"/>
    <w:rsid w:val="00457BAE"/>
    <w:rsid w:val="00491331"/>
    <w:rsid w:val="00495E80"/>
    <w:rsid w:val="004F3B3C"/>
    <w:rsid w:val="005538A3"/>
    <w:rsid w:val="00560E17"/>
    <w:rsid w:val="005733FB"/>
    <w:rsid w:val="005763AD"/>
    <w:rsid w:val="005B1A3A"/>
    <w:rsid w:val="005C4671"/>
    <w:rsid w:val="006066E1"/>
    <w:rsid w:val="00611CD7"/>
    <w:rsid w:val="006449AD"/>
    <w:rsid w:val="00684099"/>
    <w:rsid w:val="00696CF4"/>
    <w:rsid w:val="006A257C"/>
    <w:rsid w:val="006C4866"/>
    <w:rsid w:val="007E1A25"/>
    <w:rsid w:val="00821B17"/>
    <w:rsid w:val="00844BF7"/>
    <w:rsid w:val="008533AC"/>
    <w:rsid w:val="008D37D6"/>
    <w:rsid w:val="00957E92"/>
    <w:rsid w:val="00981FD8"/>
    <w:rsid w:val="00A97AFB"/>
    <w:rsid w:val="00AA4E0D"/>
    <w:rsid w:val="00AB0067"/>
    <w:rsid w:val="00B42A80"/>
    <w:rsid w:val="00B661CC"/>
    <w:rsid w:val="00B66610"/>
    <w:rsid w:val="00B91690"/>
    <w:rsid w:val="00BA406D"/>
    <w:rsid w:val="00C009B5"/>
    <w:rsid w:val="00C02347"/>
    <w:rsid w:val="00C42BC9"/>
    <w:rsid w:val="00C87487"/>
    <w:rsid w:val="00CE3BC2"/>
    <w:rsid w:val="00D01BA6"/>
    <w:rsid w:val="00D3184F"/>
    <w:rsid w:val="00D44ACE"/>
    <w:rsid w:val="00D502ED"/>
    <w:rsid w:val="00D70714"/>
    <w:rsid w:val="00DC6302"/>
    <w:rsid w:val="00E20BD2"/>
    <w:rsid w:val="00E46EDF"/>
    <w:rsid w:val="00E62F8E"/>
    <w:rsid w:val="00E86DE0"/>
    <w:rsid w:val="00EC1E2E"/>
    <w:rsid w:val="00EC4389"/>
    <w:rsid w:val="00F62734"/>
    <w:rsid w:val="00F65067"/>
    <w:rsid w:val="00FF1E21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AB0067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AB0067"/>
    <w:rPr>
      <w:i/>
      <w:iCs/>
      <w:sz w:val="28"/>
      <w:szCs w:val="28"/>
      <w:lang w:val="en-GB"/>
    </w:rPr>
  </w:style>
  <w:style w:type="character" w:styleId="Hipercze">
    <w:name w:val="Hyperlink"/>
    <w:basedOn w:val="Domylnaczcionkaakapitu"/>
    <w:uiPriority w:val="99"/>
    <w:unhideWhenUsed/>
    <w:rsid w:val="00B666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budowac.pl/materialy-wykonczeniow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6E68E6D293B423DB25074F88C5F2B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7C9D9-59B5-46F3-8FBA-9050E09D1DD5}"/>
      </w:docPartPr>
      <w:docPartBody>
        <w:p w:rsidR="00D156B4" w:rsidRDefault="00C3418D" w:rsidP="00C3418D">
          <w:pPr>
            <w:pStyle w:val="06E68E6D293B423DB25074F88C5F2B5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585D738F305B4AA6A0D99B8C90469B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F4475-C2D6-41EF-9104-42E5DB2FC30C}"/>
      </w:docPartPr>
      <w:docPartBody>
        <w:p w:rsidR="00D156B4" w:rsidRDefault="00C3418D" w:rsidP="00C3418D">
          <w:pPr>
            <w:pStyle w:val="585D738F305B4AA6A0D99B8C90469BA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CF9FC65B4F5B4DF89DE450B8CB9E6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D982E-CAE3-44B1-B720-74BEA4952C26}"/>
      </w:docPartPr>
      <w:docPartBody>
        <w:p w:rsidR="00D156B4" w:rsidRDefault="00C3418D" w:rsidP="00C3418D">
          <w:pPr>
            <w:pStyle w:val="CF9FC65B4F5B4DF89DE450B8CB9E667C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E7423"/>
    <w:rsid w:val="00220EE2"/>
    <w:rsid w:val="003313B8"/>
    <w:rsid w:val="003832C0"/>
    <w:rsid w:val="0038727A"/>
    <w:rsid w:val="00387432"/>
    <w:rsid w:val="003D0B93"/>
    <w:rsid w:val="00405951"/>
    <w:rsid w:val="00425222"/>
    <w:rsid w:val="00466774"/>
    <w:rsid w:val="004A1E54"/>
    <w:rsid w:val="005F5952"/>
    <w:rsid w:val="006558A0"/>
    <w:rsid w:val="006C4866"/>
    <w:rsid w:val="007B2BE3"/>
    <w:rsid w:val="00844463"/>
    <w:rsid w:val="00950D19"/>
    <w:rsid w:val="009B787A"/>
    <w:rsid w:val="00BE4A6E"/>
    <w:rsid w:val="00C3418D"/>
    <w:rsid w:val="00C83F90"/>
    <w:rsid w:val="00CE3BC2"/>
    <w:rsid w:val="00CF0A02"/>
    <w:rsid w:val="00D156B4"/>
    <w:rsid w:val="00D454DE"/>
    <w:rsid w:val="00E216AB"/>
    <w:rsid w:val="00E62F8E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C3418D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06E68E6D293B423DB25074F88C5F2B5F">
    <w:name w:val="06E68E6D293B423DB25074F88C5F2B5F"/>
    <w:rsid w:val="00C3418D"/>
  </w:style>
  <w:style w:type="paragraph" w:customStyle="1" w:styleId="585D738F305B4AA6A0D99B8C90469BA5">
    <w:name w:val="585D738F305B4AA6A0D99B8C90469BA5"/>
    <w:rsid w:val="00C3418D"/>
  </w:style>
  <w:style w:type="paragraph" w:customStyle="1" w:styleId="CF9FC65B4F5B4DF89DE450B8CB9E667C">
    <w:name w:val="CF9FC65B4F5B4DF89DE450B8CB9E667C"/>
    <w:rsid w:val="00C34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3D53-8D2B-4DEC-9C68-669C3CC4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Materiały i technologie. Uniwersytet VIZJA. Architektura wnętrz</vt:lpstr>
    </vt:vector>
  </TitlesOfParts>
  <Manager>Katarzyna Szymańska</Manager>
  <Company>Uniwersytet VIZJA w Warszawie</Company>
  <LinksUpToDate>false</LinksUpToDate>
  <CharactersWithSpaces>7063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Materiały i technologie.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36</cp:revision>
  <cp:lastPrinted>2026-01-14T11:52:00Z</cp:lastPrinted>
  <dcterms:created xsi:type="dcterms:W3CDTF">2026-01-08T09:00:00Z</dcterms:created>
  <dcterms:modified xsi:type="dcterms:W3CDTF">2026-01-15T11:21:00Z</dcterms:modified>
  <cp:category>sylabus dostępny cyfrowo</cp:category>
  <cp:contentStatus>na dzień 15.01.2026</cp:contentStatus>
</cp:coreProperties>
</file>