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6BF05A6" w14:textId="1C287DE0" w:rsidR="00FE2313" w:rsidRPr="00DA7B06" w:rsidRDefault="00FE2313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DA7B06">
        <w:rPr>
          <w:rFonts w:ascii="Garamond" w:hAnsi="Garamond" w:cs="Times New Roman"/>
          <w:b/>
          <w:bCs/>
          <w:sz w:val="24"/>
          <w:szCs w:val="24"/>
          <w:lang w:val="pl-PL"/>
        </w:rPr>
        <w:t>Projektowanie graficzne</w:t>
      </w:r>
    </w:p>
    <w:p w14:paraId="6EDB920B" w14:textId="31E23D10" w:rsidR="00205D6F" w:rsidRPr="00DA7B06" w:rsidRDefault="00FE231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DA7B06">
        <w:rPr>
          <w:rFonts w:ascii="Garamond" w:hAnsi="Garamond" w:cs="Times New Roman"/>
          <w:i/>
          <w:iCs/>
          <w:sz w:val="24"/>
          <w:szCs w:val="24"/>
          <w:lang w:val="pl-PL"/>
        </w:rPr>
        <w:t>Graphic Design</w:t>
      </w:r>
    </w:p>
    <w:p w14:paraId="50112F18" w14:textId="77777777" w:rsidR="00FE2313" w:rsidRPr="00DA7B06" w:rsidRDefault="00FE231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6586F96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43F3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E231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715B576" w:rsidR="00B01CE3" w:rsidRPr="0049627E" w:rsidRDefault="00FE23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7727B54C" w:rsidR="00B01CE3" w:rsidRPr="0049627E" w:rsidRDefault="00FE231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7E590162" w:rsidR="00B01CE3" w:rsidRPr="0049627E" w:rsidRDefault="00FE231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2C643A35" w:rsidR="00B01CE3" w:rsidRPr="0049627E" w:rsidRDefault="00FE231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5654A958" w:rsidR="00B01CE3" w:rsidRPr="0049627E" w:rsidRDefault="00FE231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E2313" w:rsidRPr="00743F3C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FE2313" w:rsidRPr="00A3671B" w:rsidRDefault="00FE2313" w:rsidP="00FE231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0DCC9B0D" w:rsidR="00FE2313" w:rsidRPr="00FE2313" w:rsidRDefault="00FE2313" w:rsidP="00FE23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Poznanie fundamentalnych zasad projektowania graficznego: kompozycji, hierarchii wizualnej, typografii oraz teorii koloru w kontekście komunikacji wizualnej.</w:t>
            </w:r>
          </w:p>
        </w:tc>
      </w:tr>
      <w:tr w:rsidR="00FE2313" w:rsidRPr="00743F3C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FE2313" w:rsidRPr="0059795B" w:rsidRDefault="00FE2313" w:rsidP="00FE231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7D64EC0E" w:rsidR="00FE2313" w:rsidRPr="00FE2313" w:rsidRDefault="00FE2313" w:rsidP="00FE2313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E23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posługiwania się językiem znaku i symbolu (piktogram, logo) oraz budowania spójnego przekazu graficznego.</w:t>
            </w:r>
          </w:p>
        </w:tc>
      </w:tr>
      <w:tr w:rsidR="00FE2313" w:rsidRPr="00743F3C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FE2313" w:rsidRPr="0059795B" w:rsidRDefault="00FE2313" w:rsidP="00FE2313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23C0C6FB" w:rsidR="00FE2313" w:rsidRPr="00FE2313" w:rsidRDefault="00FE2313" w:rsidP="00FE2313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E23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Rozwinięcie wrażliwości estetycznej i umiejętności łączenia tekstu z obrazem w celu stworzenia czytelnego komunikatu.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43F3C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743F3C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26066C2" w:rsidR="00C61491" w:rsidRPr="00875AA8" w:rsidRDefault="00FE231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percepcji wzrokowej, teorii koloru oraz podstawy kompozycji na płaszczyźnie niezbędne do budowania hierarchii wizualnej.</w:t>
            </w:r>
          </w:p>
        </w:tc>
        <w:tc>
          <w:tcPr>
            <w:tcW w:w="1559" w:type="dxa"/>
            <w:vAlign w:val="center"/>
          </w:tcPr>
          <w:p w14:paraId="4C6A6773" w14:textId="32070BFF" w:rsidR="00C61491" w:rsidRPr="00FE2313" w:rsidRDefault="00FE231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4A9CB572" w:rsidR="00C61491" w:rsidRPr="00875AA8" w:rsidRDefault="00FE231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Korekta prac plastycznych podczas zajęć; Ocena teczki prac semestralnych</w:t>
            </w:r>
          </w:p>
        </w:tc>
      </w:tr>
      <w:tr w:rsidR="007A6963" w:rsidRPr="00743F3C" w14:paraId="6A055EEB" w14:textId="77777777" w:rsidTr="001257D8">
        <w:tc>
          <w:tcPr>
            <w:tcW w:w="562" w:type="dxa"/>
            <w:vAlign w:val="center"/>
          </w:tcPr>
          <w:p w14:paraId="36F0D145" w14:textId="77777777" w:rsidR="007A6963" w:rsidRPr="00875AA8" w:rsidRDefault="007A6963" w:rsidP="007A6963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7E1E0D29" w:rsidR="007A6963" w:rsidRPr="008C63EE" w:rsidRDefault="007A6963" w:rsidP="007A696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/>
                <w:sz w:val="18"/>
                <w:szCs w:val="18"/>
                <w:lang w:val="pl-PL"/>
              </w:rPr>
              <w:t>Student charakteryzuje elementy języka graficznego (znak, typografia, layout) oraz narzędzia służące do tworzenia przekazu wizualnego.</w:t>
            </w:r>
          </w:p>
        </w:tc>
        <w:tc>
          <w:tcPr>
            <w:tcW w:w="1559" w:type="dxa"/>
            <w:vAlign w:val="center"/>
          </w:tcPr>
          <w:p w14:paraId="40E09629" w14:textId="4825D50A" w:rsidR="007A6963" w:rsidRPr="00FE2313" w:rsidRDefault="007A6963" w:rsidP="007A696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02ED7099" w14:textId="5A60F626" w:rsidR="007A6963" w:rsidRPr="008C63EE" w:rsidRDefault="007A6963" w:rsidP="007A69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Korekta prac plastycznych podczas zajęć; Ocena teczki prac semestralnych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43F3C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A6963" w:rsidRPr="00743F3C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7A6963" w:rsidRPr="00875AA8" w:rsidRDefault="007A6963" w:rsidP="007A696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3738F082" w:rsidR="007A6963" w:rsidRPr="00875AA8" w:rsidRDefault="007A6963" w:rsidP="007A69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własne koncepcje graficzne, eksperymentując z formą liter i znaków, tworząc unikalne kompozycje typograficzne i piktogramy.</w:t>
            </w:r>
          </w:p>
        </w:tc>
        <w:tc>
          <w:tcPr>
            <w:tcW w:w="1560" w:type="dxa"/>
            <w:vAlign w:val="center"/>
          </w:tcPr>
          <w:p w14:paraId="38A1C942" w14:textId="60C61C3B" w:rsidR="007A6963" w:rsidRPr="00C61491" w:rsidRDefault="007A6963" w:rsidP="007A696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</w:rPr>
              <w:t>AW_UW12</w:t>
            </w:r>
          </w:p>
        </w:tc>
        <w:tc>
          <w:tcPr>
            <w:tcW w:w="2552" w:type="dxa"/>
            <w:vAlign w:val="center"/>
          </w:tcPr>
          <w:p w14:paraId="31B2C584" w14:textId="12775BA5" w:rsidR="007A6963" w:rsidRPr="00875AA8" w:rsidRDefault="007A6963" w:rsidP="007A69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Korekta prac plastycznych podczas zajęć; Ocena teczki prac semestralnych</w:t>
            </w:r>
          </w:p>
        </w:tc>
      </w:tr>
      <w:tr w:rsidR="007A6963" w:rsidRPr="00743F3C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7A6963" w:rsidRPr="00875AA8" w:rsidRDefault="007A6963" w:rsidP="007A696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A5192DA" w:rsidR="007A6963" w:rsidRPr="00875AA8" w:rsidRDefault="007A6963" w:rsidP="007A69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podstawowy warsztat graficzny do stworzenia spójnego układu kompozycyjnego, łącząc tekst i grafikę w harmonijną całość.</w:t>
            </w:r>
          </w:p>
        </w:tc>
        <w:tc>
          <w:tcPr>
            <w:tcW w:w="1560" w:type="dxa"/>
            <w:vAlign w:val="center"/>
          </w:tcPr>
          <w:p w14:paraId="68E5BB9C" w14:textId="60ABF134" w:rsidR="007A6963" w:rsidRPr="00875AA8" w:rsidRDefault="007A6963" w:rsidP="007A69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505B3520" w14:textId="70A8E15C" w:rsidR="007A6963" w:rsidRPr="00875AA8" w:rsidRDefault="007A6963" w:rsidP="007A69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Korekta prac plastycznych podczas zajęć; Ocena teczki prac semestralnych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43F3C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743F3C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600BAF17" w:rsidR="00C61491" w:rsidRPr="009711B0" w:rsidRDefault="00FE2313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estetyki otoczenia i własnych prac, wykazując się otwartością na poszukiwanie nietypowych rozwiązań graficznych.</w:t>
            </w:r>
          </w:p>
        </w:tc>
        <w:tc>
          <w:tcPr>
            <w:tcW w:w="1559" w:type="dxa"/>
            <w:vAlign w:val="center"/>
          </w:tcPr>
          <w:p w14:paraId="34160FEF" w14:textId="12CE4064" w:rsidR="00C61491" w:rsidRPr="009711B0" w:rsidRDefault="00FE231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60C5537F" w:rsidR="00C61491" w:rsidRPr="009711B0" w:rsidRDefault="00FE231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2313">
              <w:rPr>
                <w:rFonts w:ascii="Garamond" w:hAnsi="Garamond" w:cs="Times New Roman"/>
                <w:sz w:val="18"/>
                <w:szCs w:val="18"/>
                <w:lang w:val="pl-PL"/>
              </w:rPr>
              <w:t>Dyskusja grupowa nad projektami (krytyka artystyczna)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365D3168" w:rsidR="00B01CE3" w:rsidRPr="00875AA8" w:rsidRDefault="00743F3C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A09F2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2280FE07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Wstęp do projektowania graficznego: Rola grafiki w pracy architekta wnętrz, komunikacja wizualna, funkcja a forma w grafice.</w:t>
            </w:r>
          </w:p>
        </w:tc>
        <w:tc>
          <w:tcPr>
            <w:tcW w:w="1701" w:type="dxa"/>
            <w:vAlign w:val="center"/>
          </w:tcPr>
          <w:p w14:paraId="32E244FC" w14:textId="6B41EB78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71805916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A09F2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1CCDCB46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Podstawy kompozycji: Równowaga, kontrast, rytm, proporcje, biała przestrzeń</w:t>
            </w:r>
            <w:r w:rsidR="007A696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punkty mocne obrazu.</w:t>
            </w:r>
          </w:p>
        </w:tc>
        <w:tc>
          <w:tcPr>
            <w:tcW w:w="1701" w:type="dxa"/>
            <w:vAlign w:val="center"/>
          </w:tcPr>
          <w:p w14:paraId="49A01F5F" w14:textId="30C4D8CA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3345DC58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2D6304BE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Hierarchia wizualna: Sterowanie okiem odbiorcy, wyróżnianie informacji najważniejszych, grupowanie treści (bliskość).</w:t>
            </w:r>
          </w:p>
        </w:tc>
        <w:tc>
          <w:tcPr>
            <w:tcW w:w="1701" w:type="dxa"/>
            <w:vAlign w:val="center"/>
          </w:tcPr>
          <w:p w14:paraId="504EC075" w14:textId="414BBFC2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26344185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7F99B56C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Typografia – anatomia litery: Budowa liter, kroje szeryfowe i bezszeryfowe, rodzina pism, czytelność a ozdobność.</w:t>
            </w:r>
          </w:p>
        </w:tc>
        <w:tc>
          <w:tcPr>
            <w:tcW w:w="1701" w:type="dxa"/>
            <w:vAlign w:val="center"/>
          </w:tcPr>
          <w:p w14:paraId="5447707F" w14:textId="24EC6810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6CD73CD4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1DFC0064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Typografia – skład tekstu: Interlinia, łamanie tekstu, wdowy i bękarty – zasady poprawnego składu.</w:t>
            </w:r>
          </w:p>
        </w:tc>
        <w:tc>
          <w:tcPr>
            <w:tcW w:w="1701" w:type="dxa"/>
            <w:vAlign w:val="center"/>
          </w:tcPr>
          <w:p w14:paraId="36E69469" w14:textId="1C6101BC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84570C7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64E80FAD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Teoria koloru w grafice: Przestrzenie barwne (RGB vs CMYK), psychologia koloru w brandingu, dobór palety kolorystycznej.</w:t>
            </w:r>
          </w:p>
        </w:tc>
        <w:tc>
          <w:tcPr>
            <w:tcW w:w="1701" w:type="dxa"/>
            <w:vAlign w:val="center"/>
          </w:tcPr>
          <w:p w14:paraId="51C9421B" w14:textId="508C4D8E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3B043B2A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70CF6075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Znak i symbol: Semiotyka, różnica między symbolem, ikoną a indeksem, projektowanie piktogramów (np. nawigacja w budynku).</w:t>
            </w:r>
          </w:p>
        </w:tc>
        <w:tc>
          <w:tcPr>
            <w:tcW w:w="1701" w:type="dxa"/>
            <w:vAlign w:val="center"/>
          </w:tcPr>
          <w:p w14:paraId="336BAC40" w14:textId="31882CA2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2C5E8EEE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315317BE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Logo i identyfikacja: Zasady projektowania znaku firmowego, skalowalność, pole ochronne, księga znaku</w:t>
            </w:r>
            <w:r w:rsidR="007A696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A29C605" w14:textId="502519D8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429DFDAD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79536EBE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Siatka modularna (Grid): Rola siatki w porządkowaniu informacji na stronie, układy kolumnowe.</w:t>
            </w:r>
          </w:p>
        </w:tc>
        <w:tc>
          <w:tcPr>
            <w:tcW w:w="1701" w:type="dxa"/>
            <w:vAlign w:val="center"/>
          </w:tcPr>
          <w:p w14:paraId="3DCF0BD1" w14:textId="3A5D48E3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B051A81" w14:textId="4219BF0C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6BDDD620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Tekst i obraz: Relacje między typografią a fotografią/ilustracją, kadrowanie, nakładanie tekstu na tło.</w:t>
            </w:r>
          </w:p>
        </w:tc>
        <w:tc>
          <w:tcPr>
            <w:tcW w:w="1701" w:type="dxa"/>
            <w:vAlign w:val="center"/>
          </w:tcPr>
          <w:p w14:paraId="6FEA85A4" w14:textId="63B249C7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DC2574B" w:rsidR="009A09F2" w:rsidRPr="00875AA8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386C85C8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Plakat: Syntetyczna forma przekazu, metafora wizualna, projekt plakatu o tematyce architektonicznej lub kulturalnej.</w:t>
            </w:r>
          </w:p>
        </w:tc>
        <w:tc>
          <w:tcPr>
            <w:tcW w:w="1701" w:type="dxa"/>
            <w:vAlign w:val="center"/>
          </w:tcPr>
          <w:p w14:paraId="6A00BCDF" w14:textId="59E02B5A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6D204C35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365522BF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Infografika: Wizualizacja danych liczbowych i procesów, czytelność wykresów i schematów.</w:t>
            </w:r>
          </w:p>
        </w:tc>
        <w:tc>
          <w:tcPr>
            <w:tcW w:w="1701" w:type="dxa"/>
            <w:vAlign w:val="center"/>
          </w:tcPr>
          <w:p w14:paraId="34342ED9" w14:textId="2F30FD8C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0F60430" w14:textId="67BB857A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9A09F2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7B22D219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Narzędzia analogowe i cyfrowe: Szkicowanie pomysłów, wstęp do wektoryzacji.</w:t>
            </w:r>
          </w:p>
        </w:tc>
        <w:tc>
          <w:tcPr>
            <w:tcW w:w="1701" w:type="dxa"/>
            <w:vAlign w:val="center"/>
          </w:tcPr>
          <w:p w14:paraId="1181B948" w14:textId="02E9926D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8ADAB71" w14:textId="1FFC970D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A09F2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9A09F2" w:rsidRPr="00875AA8" w:rsidRDefault="009A09F2" w:rsidP="009A09F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2C1C0E85" w:rsidR="009A09F2" w:rsidRPr="009A09F2" w:rsidRDefault="009A09F2" w:rsidP="009A09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orientacji przestrzennej</w:t>
            </w:r>
            <w:r w:rsidR="007A696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A09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Grafika w architekturze, tablice informacyjne, oznakowanie pięter i pomieszczeń.</w:t>
            </w:r>
          </w:p>
        </w:tc>
        <w:tc>
          <w:tcPr>
            <w:tcW w:w="1701" w:type="dxa"/>
            <w:vAlign w:val="center"/>
          </w:tcPr>
          <w:p w14:paraId="7FE2E29E" w14:textId="55A31FA9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21C88CA8" w:rsidR="009A09F2" w:rsidRDefault="009A09F2" w:rsidP="009A0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1224AD66" w14:textId="77777777" w:rsidR="009A09F2" w:rsidRPr="00743F3C" w:rsidRDefault="009A09F2" w:rsidP="009A09F2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43F3C">
        <w:rPr>
          <w:rFonts w:ascii="Garamond" w:hAnsi="Garamond" w:cs="Times New Roman"/>
          <w:sz w:val="16"/>
          <w:szCs w:val="16"/>
          <w:lang w:val="pl-PL"/>
        </w:rPr>
        <w:t>Metody podające: Wykład z prezentacją multimedialną (analiza dobrych praktyk).</w:t>
      </w:r>
    </w:p>
    <w:p w14:paraId="241CDF46" w14:textId="77777777" w:rsidR="009A09F2" w:rsidRPr="00743F3C" w:rsidRDefault="009A09F2" w:rsidP="009A09F2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43F3C">
        <w:rPr>
          <w:rFonts w:ascii="Garamond" w:hAnsi="Garamond" w:cs="Times New Roman"/>
          <w:sz w:val="16"/>
          <w:szCs w:val="16"/>
          <w:lang w:val="pl-PL"/>
        </w:rPr>
        <w:t>Metody praktyczne: Ćwiczenia warsztatowe (rysunkowe i komputerowe), projektowanie graficzne.</w:t>
      </w:r>
    </w:p>
    <w:p w14:paraId="5B54A624" w14:textId="3F409260" w:rsidR="008C63EE" w:rsidRDefault="009A09F2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43F3C">
        <w:rPr>
          <w:rFonts w:ascii="Garamond" w:hAnsi="Garamond" w:cs="Times New Roman"/>
          <w:sz w:val="16"/>
          <w:szCs w:val="16"/>
          <w:lang w:val="pl-PL"/>
        </w:rPr>
        <w:t>Formy pracy: Praca indywidualna</w:t>
      </w:r>
      <w:r w:rsidR="007A6963">
        <w:rPr>
          <w:rFonts w:ascii="Garamond" w:hAnsi="Garamond" w:cs="Times New Roman"/>
          <w:sz w:val="16"/>
          <w:szCs w:val="16"/>
          <w:lang w:val="pl-PL"/>
        </w:rPr>
        <w:t>, praca grupowa</w:t>
      </w:r>
      <w:r w:rsidRPr="00743F3C">
        <w:rPr>
          <w:rFonts w:ascii="Garamond" w:hAnsi="Garamond" w:cs="Times New Roman"/>
          <w:sz w:val="16"/>
          <w:szCs w:val="16"/>
          <w:lang w:val="pl-PL"/>
        </w:rPr>
        <w:t>.</w:t>
      </w:r>
      <w:r w:rsidR="008C63EE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366B42A" w14:textId="77777777" w:rsidR="00743F3C" w:rsidRDefault="00743F3C" w:rsidP="00743F3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743F3C" w:rsidRPr="00875AA8" w14:paraId="7E229527" w14:textId="77777777" w:rsidTr="00FC13C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61A67C1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E0B2F4E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43F3C" w:rsidRPr="00875AA8" w14:paraId="1ED9CFA8" w14:textId="77777777" w:rsidTr="00FC13C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0FC106DC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30EBFA" w14:textId="7A1ABA8E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743F3C" w:rsidRPr="00875AA8" w14:paraId="12CB4C44" w14:textId="77777777" w:rsidTr="00FC13C7">
        <w:trPr>
          <w:trHeight w:val="263"/>
        </w:trPr>
        <w:tc>
          <w:tcPr>
            <w:tcW w:w="7366" w:type="dxa"/>
            <w:vAlign w:val="center"/>
          </w:tcPr>
          <w:p w14:paraId="250020FF" w14:textId="77777777" w:rsidR="00743F3C" w:rsidRPr="00875AA8" w:rsidRDefault="00743F3C" w:rsidP="00FC13C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10FE9C9F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743F3C" w:rsidRPr="00964650" w14:paraId="59048784" w14:textId="77777777" w:rsidTr="00FC13C7">
        <w:trPr>
          <w:trHeight w:val="263"/>
        </w:trPr>
        <w:tc>
          <w:tcPr>
            <w:tcW w:w="7366" w:type="dxa"/>
            <w:vAlign w:val="center"/>
          </w:tcPr>
          <w:p w14:paraId="1C3991A4" w14:textId="77777777" w:rsidR="00743F3C" w:rsidRPr="00875AA8" w:rsidRDefault="00743F3C" w:rsidP="00FC13C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6794F83F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743F3C" w:rsidRPr="00875AA8" w14:paraId="6B104CCA" w14:textId="77777777" w:rsidTr="00FC13C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1DCFABBF" w14:textId="77777777" w:rsidR="00743F3C" w:rsidRPr="00875AA8" w:rsidRDefault="00743F3C" w:rsidP="00FC13C7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2FC7B3B" w14:textId="77777777" w:rsidR="00743F3C" w:rsidRPr="00875AA8" w:rsidRDefault="00743F3C" w:rsidP="00FC13C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6EB1F126" w:rsidR="00CB37B2" w:rsidRPr="00875AA8" w:rsidRDefault="009A09F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Gromadzenie inspiracji graficznych (moodboard).</w:t>
            </w:r>
          </w:p>
        </w:tc>
        <w:tc>
          <w:tcPr>
            <w:tcW w:w="1559" w:type="dxa"/>
            <w:vAlign w:val="center"/>
          </w:tcPr>
          <w:p w14:paraId="0D3F1796" w14:textId="1F75A37E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14:paraId="487892A0" w14:textId="7E3A13E9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53D43EB5" w:rsidR="00CB37B2" w:rsidRPr="00875AA8" w:rsidRDefault="009A09F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Szkicowanie koncepcji znaków i układów.</w:t>
            </w:r>
          </w:p>
        </w:tc>
        <w:tc>
          <w:tcPr>
            <w:tcW w:w="1559" w:type="dxa"/>
            <w:vAlign w:val="center"/>
          </w:tcPr>
          <w:p w14:paraId="28D92215" w14:textId="35340111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14:paraId="2CFD5B31" w14:textId="08432162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E0BC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9CD5A12" w:rsidR="00CB37B2" w:rsidRPr="00875AA8" w:rsidRDefault="009A09F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Realizacja ćwiczeń typograficznych (np. projekt wizytówki).</w:t>
            </w:r>
          </w:p>
        </w:tc>
        <w:tc>
          <w:tcPr>
            <w:tcW w:w="1559" w:type="dxa"/>
            <w:vAlign w:val="center"/>
          </w:tcPr>
          <w:p w14:paraId="75D9A35A" w14:textId="731E9388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395CA3F0" w14:textId="4F4D8568" w:rsidR="00CB37B2" w:rsidRPr="00875AA8" w:rsidRDefault="00EE0B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55957AD7" w:rsidR="00CB37B2" w:rsidRPr="0059795B" w:rsidRDefault="009A09F2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9A0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plansz do korekty.</w:t>
            </w:r>
          </w:p>
        </w:tc>
        <w:tc>
          <w:tcPr>
            <w:tcW w:w="1559" w:type="dxa"/>
            <w:vAlign w:val="center"/>
          </w:tcPr>
          <w:p w14:paraId="2790D5FA" w14:textId="098CA487" w:rsidR="00CB37B2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7A6D90EA" w14:textId="6FF0F6AB" w:rsidR="00CB37B2" w:rsidRPr="00875AA8" w:rsidRDefault="00EE0B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8C63EE" w:rsidRPr="00476199" w14:paraId="64FEED5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8C63EE" w:rsidRPr="00875AA8" w:rsidRDefault="008C63EE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60D01ED" w14:textId="671E2374" w:rsidR="008C63EE" w:rsidRPr="008C63EE" w:rsidRDefault="009A09F2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A0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Wydruk i oprawa prac na zaliczenie.</w:t>
            </w:r>
          </w:p>
        </w:tc>
        <w:tc>
          <w:tcPr>
            <w:tcW w:w="1559" w:type="dxa"/>
            <w:vAlign w:val="center"/>
          </w:tcPr>
          <w:p w14:paraId="3C0F898F" w14:textId="2B7EE612" w:rsidR="008C63EE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3B1D1016" w14:textId="7F4A3CAD" w:rsidR="008C63EE" w:rsidRDefault="00EE0B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9A09F2" w:rsidRPr="00476199" w14:paraId="1A13DE4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12FDDE8" w14:textId="77777777" w:rsidR="009A09F2" w:rsidRPr="00875AA8" w:rsidRDefault="009A09F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460C061" w14:textId="3B9BB866" w:rsidR="009A09F2" w:rsidRPr="009A09F2" w:rsidRDefault="009A09F2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3EC144CC" w14:textId="5FFE01C9" w:rsidR="009A09F2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7790DD2" w14:textId="5E06A69E" w:rsidR="009A09F2" w:rsidRDefault="00EE0B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9D8F97C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744606AC" w:rsidR="00CB37B2" w:rsidRPr="00875AA8" w:rsidRDefault="009A09F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743F3C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6BAF4602" w:rsidR="001F74AB" w:rsidRPr="00EE0BC4" w:rsidRDefault="00EE0BC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0BC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Bąk K., Design. Historia projektowania graficznego,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Wydawnictwo Karakter, 2018</w:t>
            </w:r>
          </w:p>
        </w:tc>
      </w:tr>
      <w:tr w:rsidR="006918BD" w:rsidRPr="00743F3C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3C40EE96" w:rsidR="006918BD" w:rsidRPr="008C0A5F" w:rsidRDefault="008C0A5F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0A5F">
              <w:rPr>
                <w:rFonts w:ascii="Garamond" w:hAnsi="Garamond" w:cs="Times New Roman"/>
                <w:sz w:val="18"/>
                <w:szCs w:val="18"/>
                <w:lang w:val="pl-PL"/>
              </w:rPr>
              <w:t>Frutiger A., Człowiek i jego znaki, Wydawnictwo d2d.pl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2003</w:t>
            </w:r>
          </w:p>
        </w:tc>
      </w:tr>
    </w:tbl>
    <w:p w14:paraId="372D7929" w14:textId="77777777" w:rsidR="009C486D" w:rsidRPr="008C0A5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743F3C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16620508" w:rsidR="00BF5F78" w:rsidRPr="008C0A5F" w:rsidRDefault="008C0A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0A5F">
              <w:rPr>
                <w:rFonts w:ascii="Garamond" w:hAnsi="Garamond" w:cs="Times New Roman"/>
                <w:sz w:val="18"/>
                <w:szCs w:val="18"/>
                <w:lang w:val="pl-PL"/>
              </w:rPr>
              <w:t>Bringhurst R., Elementarz stylu w typografii, Wydawnictwo d2d.pl,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2007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3042" w14:textId="77777777" w:rsidR="002F5C06" w:rsidRDefault="002F5C06">
      <w:pPr>
        <w:spacing w:after="0" w:line="240" w:lineRule="auto"/>
      </w:pPr>
      <w:r>
        <w:separator/>
      </w:r>
    </w:p>
  </w:endnote>
  <w:endnote w:type="continuationSeparator" w:id="0">
    <w:p w14:paraId="793B1600" w14:textId="77777777" w:rsidR="002F5C06" w:rsidRDefault="002F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3444A85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FE2313" w:rsidRPr="00FE2313">
      <w:rPr>
        <w:rFonts w:ascii="Garamond" w:hAnsi="Garamond" w:cs="Times New Roman"/>
        <w:b/>
        <w:bCs/>
        <w:sz w:val="24"/>
        <w:szCs w:val="24"/>
        <w:lang w:val="pl-PL"/>
      </w:rPr>
      <w:t>Projektowanie graficzne</w:t>
    </w:r>
    <w:r w:rsidR="00DA7B06">
      <w:rPr>
        <w:rFonts w:ascii="Garamond" w:hAnsi="Garamond" w:cs="Times New Roman"/>
        <w:b/>
        <w:bCs/>
        <w:sz w:val="24"/>
        <w:szCs w:val="24"/>
        <w:lang w:val="pl-PL"/>
      </w:rPr>
      <w:t xml:space="preserve"> (I)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F2CC" w14:textId="77777777" w:rsidR="002F5C06" w:rsidRDefault="002F5C06">
      <w:pPr>
        <w:spacing w:after="0" w:line="240" w:lineRule="auto"/>
      </w:pPr>
      <w:r>
        <w:separator/>
      </w:r>
    </w:p>
  </w:footnote>
  <w:footnote w:type="continuationSeparator" w:id="0">
    <w:p w14:paraId="34046677" w14:textId="77777777" w:rsidR="002F5C06" w:rsidRDefault="002F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57291">
    <w:abstractNumId w:val="10"/>
  </w:num>
  <w:num w:numId="2" w16cid:durableId="80757989">
    <w:abstractNumId w:val="2"/>
  </w:num>
  <w:num w:numId="3" w16cid:durableId="1234662109">
    <w:abstractNumId w:val="3"/>
  </w:num>
  <w:num w:numId="4" w16cid:durableId="2124493512">
    <w:abstractNumId w:val="7"/>
  </w:num>
  <w:num w:numId="5" w16cid:durableId="2057316453">
    <w:abstractNumId w:val="5"/>
  </w:num>
  <w:num w:numId="6" w16cid:durableId="641735071">
    <w:abstractNumId w:val="9"/>
  </w:num>
  <w:num w:numId="7" w16cid:durableId="170141197">
    <w:abstractNumId w:val="1"/>
  </w:num>
  <w:num w:numId="8" w16cid:durableId="2000379667">
    <w:abstractNumId w:val="11"/>
  </w:num>
  <w:num w:numId="9" w16cid:durableId="1588920708">
    <w:abstractNumId w:val="8"/>
  </w:num>
  <w:num w:numId="10" w16cid:durableId="1083406577">
    <w:abstractNumId w:val="6"/>
  </w:num>
  <w:num w:numId="11" w16cid:durableId="165943987">
    <w:abstractNumId w:val="4"/>
  </w:num>
  <w:num w:numId="12" w16cid:durableId="88286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5C06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3F3C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A6963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B083A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760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2639C"/>
    <w:rsid w:val="00533FF9"/>
    <w:rsid w:val="0053771E"/>
    <w:rsid w:val="0062223B"/>
    <w:rsid w:val="00643B33"/>
    <w:rsid w:val="006B2F01"/>
    <w:rsid w:val="006B5C24"/>
    <w:rsid w:val="006C50D5"/>
    <w:rsid w:val="00746017"/>
    <w:rsid w:val="007D02FD"/>
    <w:rsid w:val="00863ADE"/>
    <w:rsid w:val="00896804"/>
    <w:rsid w:val="008B083A"/>
    <w:rsid w:val="008D2A60"/>
    <w:rsid w:val="00A9700A"/>
    <w:rsid w:val="00AD17C1"/>
    <w:rsid w:val="00B22041"/>
    <w:rsid w:val="00B35DA4"/>
    <w:rsid w:val="00B973F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04AC6EDBDBB4455297F15147AF528F82">
    <w:name w:val="04AC6EDBDBB4455297F15147AF528F82"/>
    <w:rsid w:val="0052639C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93</cp:revision>
  <cp:lastPrinted>2021-06-05T12:43:00Z</cp:lastPrinted>
  <dcterms:created xsi:type="dcterms:W3CDTF">2023-12-04T09:26:00Z</dcterms:created>
  <dcterms:modified xsi:type="dcterms:W3CDTF">2026-01-14T13:38:00Z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