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18F" w:rsidRDefault="0070418F" w14:paraId="79E6D07C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70418F" w:rsidRDefault="00A61801" w14:paraId="26D92B78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>Antropologia</w:t>
      </w:r>
      <w:r>
        <w:rPr>
          <w:rFonts w:ascii="Garamond" w:hAnsi="Garamond" w:eastAsia="Garamond" w:cs="Garamond"/>
          <w:b/>
          <w:sz w:val="24"/>
          <w:szCs w:val="24"/>
        </w:rPr>
        <w:br/>
      </w:r>
      <w:proofErr w:type="spellStart"/>
      <w:r>
        <w:rPr>
          <w:rFonts w:ascii="Garamond" w:hAnsi="Garamond" w:eastAsia="Garamond" w:cs="Garamond"/>
          <w:i/>
          <w:sz w:val="24"/>
          <w:szCs w:val="24"/>
        </w:rPr>
        <w:t>Anthropology</w:t>
      </w:r>
      <w:proofErr w:type="spellEnd"/>
    </w:p>
    <w:p w:rsidR="0070418F" w:rsidRDefault="0070418F" w14:paraId="74656F56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4F072CAB" w:rsidTr="4F072CAB" w14:paraId="2FC5FA4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F072CAB" w:rsidP="4F072CAB" w:rsidRDefault="4F072CAB" w14:paraId="33989BD1" w14:textId="763BEE0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F072CAB" w:rsidR="4F072CA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F072CAB" w:rsidP="4F072CAB" w:rsidRDefault="4F072CAB" w14:paraId="3A3D1A65" w14:textId="00D6DFC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F072CAB" w:rsidR="4F072CA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70418F" w:rsidTr="4F072CAB" w14:paraId="490B8B8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403784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70418F" w:rsidRDefault="00697EB0" w14:paraId="2CF1886D" w14:textId="3F7384B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70418F" w:rsidTr="4F072CAB" w14:paraId="56A0E08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5AF469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70418F" w:rsidRDefault="00A61801" w14:paraId="6D905F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 / Semestr I</w:t>
            </w:r>
          </w:p>
        </w:tc>
      </w:tr>
      <w:tr w:rsidR="0070418F" w:rsidTr="4F072CAB" w14:paraId="2292E38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74D33D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70418F" w:rsidRDefault="00A61801" w14:paraId="66ECB9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70418F" w:rsidTr="4F072CAB" w14:paraId="436409C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782F13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70418F" w:rsidRDefault="00697EB0" w14:paraId="40F99F60" w14:textId="279CE0C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70418F" w:rsidTr="4F072CAB" w14:paraId="58AF2D6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6FD70FD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70418F" w:rsidRDefault="00A61801" w14:paraId="2886DB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70418F" w:rsidTr="4F072CAB" w14:paraId="3862FB7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536E4F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70418F" w:rsidRDefault="00A61801" w14:paraId="49E984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</w:t>
            </w:r>
            <w:r>
              <w:rPr>
                <w:rFonts w:ascii="Garamond" w:hAnsi="Garamond" w:eastAsia="Garamond" w:cs="Garamond"/>
                <w:i/>
                <w:sz w:val="20"/>
                <w:szCs w:val="20"/>
              </w:rPr>
              <w:t>jeśli przedmiot specjalizacyjny)</w:t>
            </w:r>
          </w:p>
        </w:tc>
        <w:tc>
          <w:tcPr>
            <w:tcW w:w="5670" w:type="dxa"/>
            <w:tcMar/>
            <w:vAlign w:val="center"/>
          </w:tcPr>
          <w:p w:rsidR="0070418F" w:rsidRDefault="00A61801" w14:paraId="1E9796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70418F" w:rsidTr="4F072CAB" w14:paraId="61FA25A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48568A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70418F" w:rsidRDefault="00A61801" w14:paraId="3B05A0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70418F" w:rsidRDefault="0070418F" w14:paraId="5482E41C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70418F" w14:paraId="1D11BC70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70418F" w:rsidRDefault="00A61801" w14:paraId="3C75F6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70418F" w:rsidRDefault="00A61801" w14:paraId="14869D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70418F" w:rsidRDefault="00A61801" w14:paraId="0B57FB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70418F" w:rsidRDefault="00A61801" w14:paraId="4948E11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70418F" w:rsidRDefault="00A61801" w14:paraId="0BF04E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70418F" w14:paraId="4045BC6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70418F" w:rsidRDefault="0070418F" w14:paraId="4C76C7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70418F" w:rsidRDefault="00A61801" w14:paraId="03CA26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70418F" w:rsidRDefault="00A61801" w14:paraId="7D2E2B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70418F" w:rsidRDefault="0070418F" w14:paraId="6F3682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70418F" w:rsidRDefault="0070418F" w14:paraId="192D5E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70418F" w:rsidRDefault="0070418F" w14:paraId="7C7C1B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70418F" w14:paraId="6A5DAAE5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0418F" w:rsidRDefault="00A61801" w14:paraId="4E59DAC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70418F" w:rsidRDefault="00A61801" w14:paraId="682B5EA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35</w:t>
            </w:r>
          </w:p>
        </w:tc>
        <w:tc>
          <w:tcPr>
            <w:tcW w:w="1545" w:type="dxa"/>
            <w:vAlign w:val="center"/>
          </w:tcPr>
          <w:p w:rsidR="0070418F" w:rsidRDefault="00A61801" w14:paraId="62DA523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845" w:type="dxa"/>
            <w:vMerge w:val="restart"/>
            <w:vAlign w:val="center"/>
          </w:tcPr>
          <w:p w:rsidR="0070418F" w:rsidRDefault="00A61801" w14:paraId="6C9172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2144" w:type="dxa"/>
            <w:vAlign w:val="center"/>
          </w:tcPr>
          <w:p w:rsidR="0070418F" w:rsidRDefault="00A61801" w14:paraId="22D16E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70418F" w:rsidRDefault="00A61801" w14:paraId="577624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70418F" w14:paraId="7B776B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0418F" w:rsidRDefault="00A61801" w14:paraId="26720C5A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70418F" w:rsidRDefault="00A61801" w14:paraId="0050A7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35</w:t>
            </w:r>
          </w:p>
        </w:tc>
        <w:tc>
          <w:tcPr>
            <w:tcW w:w="1545" w:type="dxa"/>
            <w:vAlign w:val="center"/>
          </w:tcPr>
          <w:p w:rsidR="0070418F" w:rsidRDefault="00A61801" w14:paraId="3137767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845" w:type="dxa"/>
            <w:vMerge/>
            <w:vAlign w:val="center"/>
          </w:tcPr>
          <w:p w:rsidR="0070418F" w:rsidRDefault="0070418F" w14:paraId="37C811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70418F" w:rsidRDefault="0070418F" w14:paraId="1154C0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0418F" w14:paraId="33FFD08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0418F" w:rsidRDefault="00A61801" w14:paraId="2F62D99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70418F" w:rsidRDefault="00483EB9" w14:paraId="7E4297EC" w14:textId="35A3576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90</w:t>
            </w:r>
          </w:p>
        </w:tc>
        <w:tc>
          <w:tcPr>
            <w:tcW w:w="1545" w:type="dxa"/>
            <w:vAlign w:val="center"/>
          </w:tcPr>
          <w:p w:rsidR="0070418F" w:rsidRDefault="00697EB0" w14:paraId="5BCB34AA" w14:textId="61F0211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  <w:r w:rsidR="00A61801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845" w:type="dxa"/>
            <w:vMerge/>
            <w:vAlign w:val="center"/>
          </w:tcPr>
          <w:p w:rsidR="0070418F" w:rsidRDefault="0070418F" w14:paraId="1DB048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0418F" w:rsidRDefault="0070418F" w14:paraId="0ED59D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0418F" w14:paraId="788D368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0418F" w:rsidRDefault="00A61801" w14:paraId="77EF0701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70418F" w:rsidRDefault="00A61801" w14:paraId="27ECB4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1545" w:type="dxa"/>
            <w:vAlign w:val="center"/>
          </w:tcPr>
          <w:p w:rsidR="0070418F" w:rsidRDefault="00A61801" w14:paraId="3ECC54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="0070418F" w:rsidRDefault="0070418F" w14:paraId="3FDCC8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0418F" w:rsidRDefault="0070418F" w14:paraId="140AAC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70418F" w:rsidRDefault="0070418F" w14:paraId="73AC1797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70418F" w:rsidRDefault="00A61801" w14:paraId="2C11EA6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2"/>
        <w:tblW w:w="1049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0064"/>
      </w:tblGrid>
      <w:tr w:rsidR="0070418F" w14:paraId="17BC59EF" w14:textId="77777777">
        <w:trPr>
          <w:trHeight w:val="268"/>
        </w:trPr>
        <w:tc>
          <w:tcPr>
            <w:tcW w:w="426" w:type="dxa"/>
            <w:vAlign w:val="center"/>
          </w:tcPr>
          <w:p w:rsidR="0070418F" w:rsidRDefault="00A61801" w14:paraId="46593BB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1.</w:t>
            </w:r>
          </w:p>
        </w:tc>
        <w:tc>
          <w:tcPr>
            <w:tcW w:w="10064" w:type="dxa"/>
            <w:vAlign w:val="center"/>
          </w:tcPr>
          <w:p w:rsidR="0070418F" w:rsidRDefault="00A61801" w14:paraId="6854C95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Przekazanie wiedzy na temat głównych pojęć, koncepcji, teorii i szkół myślenia w obrębie antropologii.</w:t>
            </w:r>
          </w:p>
        </w:tc>
      </w:tr>
      <w:tr w:rsidR="0070418F" w14:paraId="4F70F42A" w14:textId="77777777">
        <w:trPr>
          <w:trHeight w:val="268"/>
        </w:trPr>
        <w:tc>
          <w:tcPr>
            <w:tcW w:w="426" w:type="dxa"/>
            <w:vAlign w:val="center"/>
          </w:tcPr>
          <w:p w:rsidR="0070418F" w:rsidRDefault="00A61801" w14:paraId="2FD2E51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2.</w:t>
            </w:r>
          </w:p>
        </w:tc>
        <w:tc>
          <w:tcPr>
            <w:tcW w:w="10064" w:type="dxa"/>
            <w:vAlign w:val="center"/>
          </w:tcPr>
          <w:p w:rsidR="0070418F" w:rsidRDefault="00A61801" w14:paraId="48AA7C5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najbardziej charakterystycznymi metodami badań antropologicznych oraz analizy danych antropologicznych.</w:t>
            </w:r>
          </w:p>
        </w:tc>
      </w:tr>
      <w:tr w:rsidR="0070418F" w14:paraId="2130B59A" w14:textId="77777777">
        <w:trPr>
          <w:trHeight w:val="268"/>
        </w:trPr>
        <w:tc>
          <w:tcPr>
            <w:tcW w:w="426" w:type="dxa"/>
            <w:vAlign w:val="center"/>
          </w:tcPr>
          <w:p w:rsidR="0070418F" w:rsidRDefault="00A61801" w14:paraId="3B53D1F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3.</w:t>
            </w:r>
          </w:p>
        </w:tc>
        <w:tc>
          <w:tcPr>
            <w:tcW w:w="10064" w:type="dxa"/>
            <w:vAlign w:val="center"/>
          </w:tcPr>
          <w:p w:rsidR="0070418F" w:rsidRDefault="00A61801" w14:paraId="19A9C67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umiejętność naukowego, systematycznego i otwartego myślenia o kulturze i społeczeństwie przez pryzmat antropologii jako nauki.</w:t>
            </w:r>
          </w:p>
        </w:tc>
      </w:tr>
    </w:tbl>
    <w:p w:rsidR="0070418F" w:rsidRDefault="0070418F" w14:paraId="64B3A903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70418F" w:rsidRDefault="00A61801" w14:paraId="5B67D0A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4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8"/>
        <w:gridCol w:w="6135"/>
        <w:gridCol w:w="1686"/>
        <w:gridCol w:w="2137"/>
      </w:tblGrid>
      <w:tr w:rsidR="0070418F" w:rsidTr="5B834F12" w14:paraId="2BF38DEA" w14:textId="77777777">
        <w:trPr>
          <w:trHeight w:val="298"/>
        </w:trPr>
        <w:tc>
          <w:tcPr>
            <w:tcW w:w="10446" w:type="dxa"/>
            <w:gridSpan w:val="4"/>
            <w:shd w:val="clear" w:color="auto" w:fill="D9E2F3" w:themeFill="accent5" w:themeFillTint="33"/>
            <w:tcMar/>
            <w:vAlign w:val="center"/>
          </w:tcPr>
          <w:p w:rsidP="5B834F12" w14:paraId="358E4DC8" w14:textId="66C1F6DB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B834F12" w:rsidR="38AC281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="0070418F" w:rsidTr="5B834F12" w14:paraId="536B6AB2" w14:textId="77777777">
        <w:trPr>
          <w:trHeight w:val="575"/>
        </w:trPr>
        <w:tc>
          <w:tcPr>
            <w:tcW w:w="488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3998186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135" w:type="dxa"/>
            <w:shd w:val="clear" w:color="auto" w:fill="D9E2F3" w:themeFill="accent5" w:themeFillTint="33"/>
            <w:tcMar/>
            <w:vAlign w:val="center"/>
          </w:tcPr>
          <w:p w:rsidR="0070418F" w:rsidP="3ADDF192" w:rsidRDefault="00A61801" w14:paraId="74919DFA" w14:textId="5F90DF0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686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116687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37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25752A7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70418F" w:rsidRDefault="00A61801" w14:paraId="1AEB641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0418F" w:rsidTr="5B834F12" w14:paraId="48696018" w14:textId="77777777">
        <w:trPr>
          <w:trHeight w:val="300"/>
        </w:trPr>
        <w:tc>
          <w:tcPr>
            <w:tcW w:w="488" w:type="dxa"/>
            <w:tcMar/>
            <w:vAlign w:val="center"/>
          </w:tcPr>
          <w:p w:rsidR="0070418F" w:rsidRDefault="00A61801" w14:paraId="5AE90C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W1</w:t>
            </w:r>
          </w:p>
        </w:tc>
        <w:tc>
          <w:tcPr>
            <w:tcW w:w="6135" w:type="dxa"/>
            <w:tcMar/>
            <w:vAlign w:val="center"/>
          </w:tcPr>
          <w:p w:rsidR="0070418F" w:rsidRDefault="00A61801" w14:paraId="3984E833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zakres i przedmiot antropologii jako dyscypliny naukowej.</w:t>
            </w:r>
          </w:p>
        </w:tc>
        <w:tc>
          <w:tcPr>
            <w:tcW w:w="1686" w:type="dxa"/>
            <w:tcMar/>
            <w:vAlign w:val="center"/>
          </w:tcPr>
          <w:p w:rsidR="0070418F" w:rsidP="000A5B3C" w:rsidRDefault="000A5B3C" w14:paraId="3ACCBBCD" w14:textId="18A9046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LGP_WG01</w:t>
            </w:r>
          </w:p>
        </w:tc>
        <w:tc>
          <w:tcPr>
            <w:tcW w:w="2137" w:type="dxa"/>
            <w:tcMar/>
            <w:vAlign w:val="center"/>
          </w:tcPr>
          <w:p w:rsidR="0070418F" w:rsidRDefault="00A61801" w14:paraId="5B4D880E" w14:textId="512B19F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5EA2F8" w:rsidR="00A61801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  <w:tr w:rsidR="0070418F" w:rsidTr="5B834F12" w14:paraId="1DB65283" w14:textId="77777777">
        <w:trPr>
          <w:trHeight w:val="300"/>
        </w:trPr>
        <w:tc>
          <w:tcPr>
            <w:tcW w:w="488" w:type="dxa"/>
            <w:tcMar/>
            <w:vAlign w:val="center"/>
          </w:tcPr>
          <w:p w:rsidR="0070418F" w:rsidRDefault="00A61801" w14:paraId="0D985ED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W2</w:t>
            </w:r>
          </w:p>
        </w:tc>
        <w:tc>
          <w:tcPr>
            <w:tcW w:w="6135" w:type="dxa"/>
            <w:tcMar/>
            <w:vAlign w:val="center"/>
          </w:tcPr>
          <w:p w:rsidR="0070418F" w:rsidP="3ADDF192" w:rsidRDefault="00A61801" w14:paraId="297B746A" w14:textId="52753B15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Student </w:t>
            </w:r>
            <w:r w:rsidRPr="3ADDF192" w:rsidR="25C676E4">
              <w:rPr>
                <w:rFonts w:ascii="Garamond" w:hAnsi="Garamond" w:eastAsia="Garamond" w:cs="Garamond"/>
                <w:sz w:val="18"/>
                <w:szCs w:val="18"/>
              </w:rPr>
              <w:t xml:space="preserve">zna i rozumie oraz potrafi </w:t>
            </w:r>
            <w:r w:rsidRPr="3ADDF192" w:rsidR="6263F7B0">
              <w:rPr>
                <w:rFonts w:ascii="Garamond" w:hAnsi="Garamond" w:eastAsia="Garamond" w:cs="Garamond"/>
                <w:sz w:val="18"/>
                <w:szCs w:val="18"/>
              </w:rPr>
              <w:t>rozróżnić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 procesy komunikacji grupowej i indywidualnej w zakresie relacji antropologicznych oraz procesy wpływu kulturowego na jednostkę, zna perspektywę antropologii na współczesne problemy cywilizacyjne.</w:t>
            </w:r>
          </w:p>
        </w:tc>
        <w:tc>
          <w:tcPr>
            <w:tcW w:w="1686" w:type="dxa"/>
            <w:tcMar/>
            <w:vAlign w:val="center"/>
          </w:tcPr>
          <w:p w:rsidRPr="00986E56" w:rsidR="0070418F" w:rsidP="000A5B3C" w:rsidRDefault="000A5B3C" w14:paraId="7766F1A5" w14:textId="79ADB94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LGP_WG01</w:t>
            </w:r>
          </w:p>
        </w:tc>
        <w:tc>
          <w:tcPr>
            <w:tcW w:w="2137" w:type="dxa"/>
            <w:tcMar/>
            <w:vAlign w:val="center"/>
          </w:tcPr>
          <w:p w:rsidR="0070418F" w:rsidRDefault="00A61801" w14:paraId="435136F6" w14:textId="023DCF8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5EA2F8" w:rsidR="00A61801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  <w:tr w:rsidR="0070418F" w:rsidTr="5B834F12" w14:paraId="6CC6B510" w14:textId="77777777">
        <w:trPr>
          <w:trHeight w:val="300"/>
        </w:trPr>
        <w:tc>
          <w:tcPr>
            <w:tcW w:w="488" w:type="dxa"/>
            <w:tcMar/>
            <w:vAlign w:val="center"/>
          </w:tcPr>
          <w:p w:rsidR="0070418F" w:rsidRDefault="00A61801" w14:paraId="768828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W3</w:t>
            </w:r>
          </w:p>
        </w:tc>
        <w:tc>
          <w:tcPr>
            <w:tcW w:w="6135" w:type="dxa"/>
            <w:tcMar/>
            <w:vAlign w:val="center"/>
          </w:tcPr>
          <w:p w:rsidR="0070418F" w:rsidP="3ADDF192" w:rsidRDefault="00A61801" w14:paraId="6089B06C" w14:textId="000489AA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Student </w:t>
            </w:r>
            <w:r w:rsidRPr="3ADDF192" w:rsidR="16377D98">
              <w:rPr>
                <w:rFonts w:ascii="Garamond" w:hAnsi="Garamond" w:eastAsia="Garamond" w:cs="Garamond"/>
                <w:sz w:val="18"/>
                <w:szCs w:val="18"/>
              </w:rPr>
              <w:t>zna i rozumie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 najważniejsze szkoły myśli w antropologii, najbardziej reprezentatywne metody badawcze w zakresie tej dyscypliny oraz ich charakterystyki w porównaniu do psychologii</w:t>
            </w:r>
            <w:r w:rsidRPr="3ADDF192" w:rsidR="006F6E76">
              <w:rPr>
                <w:rFonts w:ascii="Garamond" w:hAnsi="Garamond" w:eastAsia="Garamond" w:cs="Garamond"/>
                <w:sz w:val="18"/>
                <w:szCs w:val="18"/>
              </w:rPr>
              <w:t xml:space="preserve"> i pedagogiki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686" w:type="dxa"/>
            <w:tcMar/>
            <w:vAlign w:val="center"/>
          </w:tcPr>
          <w:p w:rsidRPr="00986E56" w:rsidR="0070418F" w:rsidP="000A5B3C" w:rsidRDefault="000A5B3C" w14:paraId="08FCC88F" w14:textId="6D11E2C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LGP_WK02</w:t>
            </w:r>
          </w:p>
        </w:tc>
        <w:tc>
          <w:tcPr>
            <w:tcW w:w="2137" w:type="dxa"/>
            <w:tcMar/>
            <w:vAlign w:val="center"/>
          </w:tcPr>
          <w:p w:rsidR="0070418F" w:rsidRDefault="00A61801" w14:paraId="64A6C454" w14:textId="4664659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7B9AEEB" w:rsidR="00A61801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</w:tbl>
    <w:p w:rsidR="0070418F" w:rsidRDefault="0070418F" w14:paraId="1E1D0BE5" w14:textId="77777777">
      <w:pPr>
        <w:spacing w:after="0" w:line="240" w:lineRule="auto"/>
        <w:rPr>
          <w:sz w:val="20"/>
          <w:szCs w:val="20"/>
        </w:rPr>
      </w:pPr>
    </w:p>
    <w:tbl>
      <w:tblPr>
        <w:tblW w:w="1042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6135"/>
        <w:gridCol w:w="1646"/>
        <w:gridCol w:w="2157"/>
      </w:tblGrid>
      <w:tr w:rsidR="0070418F" w:rsidTr="5B834F12" w14:paraId="40F34677" w14:textId="77777777">
        <w:trPr>
          <w:trHeight w:val="298"/>
        </w:trPr>
        <w:tc>
          <w:tcPr>
            <w:tcW w:w="10427" w:type="dxa"/>
            <w:gridSpan w:val="4"/>
            <w:shd w:val="clear" w:color="auto" w:fill="D9E2F3" w:themeFill="accent5" w:themeFillTint="33"/>
            <w:tcMar/>
            <w:vAlign w:val="center"/>
          </w:tcPr>
          <w:p w:rsidP="5B834F12" w14:paraId="42038ABD" w14:textId="169F9A81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="3B8432DC">
              <w:rPr/>
              <w:t xml:space="preserve"> </w:t>
            </w:r>
            <w:r w:rsidRPr="5B834F12" w:rsidR="3B8432D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="0070418F" w:rsidTr="5B834F12" w14:paraId="6941633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4FE31F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135" w:type="dxa"/>
            <w:shd w:val="clear" w:color="auto" w:fill="D9E2F3" w:themeFill="accent5" w:themeFillTint="33"/>
            <w:tcMar/>
            <w:vAlign w:val="center"/>
          </w:tcPr>
          <w:p w:rsidR="0070418F" w:rsidP="3ADDF192" w:rsidRDefault="00A61801" w14:paraId="55BE3EF2" w14:textId="17F7A7D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646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7E81A2A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57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4E48D6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0418F" w:rsidRDefault="00A61801" w14:paraId="5B62681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0418F" w:rsidTr="5B834F12" w14:paraId="70DF93B4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0418F" w:rsidRDefault="00A61801" w14:paraId="0C8771A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U1</w:t>
            </w:r>
          </w:p>
        </w:tc>
        <w:tc>
          <w:tcPr>
            <w:tcW w:w="6135" w:type="dxa"/>
            <w:tcMar/>
            <w:vAlign w:val="center"/>
          </w:tcPr>
          <w:p w:rsidR="0070418F" w:rsidRDefault="00A61801" w14:paraId="431EAF49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interpretować zróżnicowane zjawiska społeczno-kulturowe przez pryzmat wiedzy antropologicznej.</w:t>
            </w:r>
          </w:p>
        </w:tc>
        <w:tc>
          <w:tcPr>
            <w:tcW w:w="1646" w:type="dxa"/>
            <w:tcMar/>
            <w:vAlign w:val="center"/>
          </w:tcPr>
          <w:p w:rsidR="0070418F" w:rsidP="000A5B3C" w:rsidRDefault="000A5B3C" w14:paraId="68164C4C" w14:textId="210AB51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157" w:type="dxa"/>
            <w:tcMar/>
            <w:vAlign w:val="center"/>
          </w:tcPr>
          <w:p w:rsidR="0070418F" w:rsidRDefault="00A61801" w14:paraId="3A79E1FE" w14:textId="167E10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7B9AEEB" w:rsidR="00A61801">
              <w:rPr>
                <w:rFonts w:ascii="Garamond" w:hAnsi="Garamond" w:eastAsia="Garamond" w:cs="Garamond"/>
                <w:sz w:val="18"/>
                <w:szCs w:val="18"/>
              </w:rPr>
              <w:t>Egzamin pisemny – pytania otwarte.</w:t>
            </w:r>
          </w:p>
        </w:tc>
      </w:tr>
      <w:tr w:rsidR="0070418F" w:rsidTr="5B834F12" w14:paraId="51AF9649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0418F" w:rsidRDefault="00A61801" w14:paraId="4C3256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U2</w:t>
            </w:r>
          </w:p>
        </w:tc>
        <w:tc>
          <w:tcPr>
            <w:tcW w:w="6135" w:type="dxa"/>
            <w:tcMar/>
            <w:vAlign w:val="center"/>
          </w:tcPr>
          <w:p w:rsidR="0070418F" w:rsidRDefault="00A61801" w14:paraId="42350A09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analizować argumenty i stwierdzenia dotyczące zjawisk społeczno-kulturowych z punktu widzenia antropologicznych teorii i metod.</w:t>
            </w:r>
          </w:p>
        </w:tc>
        <w:tc>
          <w:tcPr>
            <w:tcW w:w="1646" w:type="dxa"/>
            <w:tcMar/>
            <w:vAlign w:val="center"/>
          </w:tcPr>
          <w:p w:rsidR="0070418F" w:rsidP="000A5B3C" w:rsidRDefault="000A5B3C" w14:paraId="07CEE286" w14:textId="5A667E7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157" w:type="dxa"/>
            <w:tcMar/>
            <w:vAlign w:val="center"/>
          </w:tcPr>
          <w:p w:rsidR="0070418F" w:rsidRDefault="00A61801" w14:paraId="26D4EDB2" w14:textId="0E82B8F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7B9AEEB" w:rsidR="00A61801">
              <w:rPr>
                <w:rFonts w:ascii="Garamond" w:hAnsi="Garamond" w:eastAsia="Garamond" w:cs="Garamond"/>
                <w:sz w:val="18"/>
                <w:szCs w:val="18"/>
              </w:rPr>
              <w:t>Egzamin pisemny – pytania otwarte.</w:t>
            </w:r>
          </w:p>
        </w:tc>
      </w:tr>
      <w:tr w:rsidR="0070418F" w:rsidTr="5B834F12" w14:paraId="57A135F0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0418F" w:rsidRDefault="00A61801" w14:paraId="582559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U3</w:t>
            </w:r>
          </w:p>
        </w:tc>
        <w:tc>
          <w:tcPr>
            <w:tcW w:w="6135" w:type="dxa"/>
            <w:tcMar/>
            <w:vAlign w:val="center"/>
          </w:tcPr>
          <w:p w:rsidR="0070418F" w:rsidRDefault="00A61801" w14:paraId="2BE5259C" w14:textId="20AA887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identyfikować płaszczyzny porozumienia i różnic między antropologią a psychologią</w:t>
            </w:r>
            <w:r w:rsidR="006F6E76">
              <w:rPr>
                <w:rFonts w:ascii="Garamond" w:hAnsi="Garamond" w:eastAsia="Garamond" w:cs="Garamond"/>
                <w:sz w:val="18"/>
                <w:szCs w:val="18"/>
              </w:rPr>
              <w:t xml:space="preserve"> i pedagogiką.</w:t>
            </w:r>
          </w:p>
        </w:tc>
        <w:tc>
          <w:tcPr>
            <w:tcW w:w="1646" w:type="dxa"/>
            <w:tcMar/>
            <w:vAlign w:val="center"/>
          </w:tcPr>
          <w:p w:rsidR="0070418F" w:rsidP="000A5B3C" w:rsidRDefault="000A5B3C" w14:paraId="10E0982F" w14:textId="7BAA8E0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157" w:type="dxa"/>
            <w:tcMar/>
            <w:vAlign w:val="center"/>
          </w:tcPr>
          <w:p w:rsidR="0070418F" w:rsidRDefault="00A61801" w14:paraId="133AF3A1" w14:textId="0DC48C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7B9AEEB" w:rsidR="00A61801">
              <w:rPr>
                <w:rFonts w:ascii="Garamond" w:hAnsi="Garamond" w:eastAsia="Garamond" w:cs="Garamond"/>
                <w:sz w:val="18"/>
                <w:szCs w:val="18"/>
              </w:rPr>
              <w:t>Egzamin pisemny – pytania otwarte.</w:t>
            </w:r>
          </w:p>
        </w:tc>
      </w:tr>
    </w:tbl>
    <w:p w:rsidR="0070418F" w:rsidRDefault="0070418F" w14:paraId="5E9F18D8" w14:textId="77777777">
      <w:pPr>
        <w:spacing w:after="0" w:line="240" w:lineRule="auto"/>
        <w:rPr>
          <w:sz w:val="20"/>
          <w:szCs w:val="20"/>
        </w:rPr>
      </w:pPr>
    </w:p>
    <w:p w:rsidR="0070418F" w:rsidRDefault="0070418F" w14:paraId="1888FC73" w14:textId="77777777">
      <w:pPr>
        <w:spacing w:after="0" w:line="240" w:lineRule="auto"/>
        <w:rPr>
          <w:sz w:val="20"/>
          <w:szCs w:val="20"/>
        </w:rPr>
      </w:pPr>
    </w:p>
    <w:tbl>
      <w:tblPr>
        <w:tblW w:w="104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8"/>
        <w:gridCol w:w="6180"/>
        <w:gridCol w:w="1626"/>
        <w:gridCol w:w="2122"/>
      </w:tblGrid>
      <w:tr w:rsidR="0070418F" w:rsidTr="5B834F12" w14:paraId="51439030" w14:textId="77777777">
        <w:trPr>
          <w:trHeight w:val="298"/>
        </w:trPr>
        <w:tc>
          <w:tcPr>
            <w:tcW w:w="10416" w:type="dxa"/>
            <w:gridSpan w:val="4"/>
            <w:shd w:val="clear" w:color="auto" w:fill="D9E2F3" w:themeFill="accent5" w:themeFillTint="33"/>
            <w:tcMar/>
            <w:vAlign w:val="center"/>
          </w:tcPr>
          <w:p w:rsidP="5B834F12" w14:paraId="452C3CB1" w14:textId="17049169">
            <w:pPr>
              <w:pStyle w:val="Normalny"/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="02C9D0E6">
              <w:rPr/>
              <w:t xml:space="preserve"> </w:t>
            </w:r>
            <w:r w:rsidRPr="5B834F12" w:rsidR="02C9D0E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="0070418F" w:rsidTr="5B834F12" w14:paraId="4E66F857" w14:textId="77777777">
        <w:trPr>
          <w:trHeight w:val="575"/>
        </w:trPr>
        <w:tc>
          <w:tcPr>
            <w:tcW w:w="488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27FF65F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180" w:type="dxa"/>
            <w:shd w:val="clear" w:color="auto" w:fill="D9E2F3" w:themeFill="accent5" w:themeFillTint="33"/>
            <w:tcMar/>
            <w:vAlign w:val="center"/>
          </w:tcPr>
          <w:p w:rsidR="0070418F" w:rsidP="3ADDF192" w:rsidRDefault="00A61801" w14:paraId="5A04C8FC" w14:textId="5EA06AD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626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049F48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22" w:type="dxa"/>
            <w:shd w:val="clear" w:color="auto" w:fill="D9E2F3" w:themeFill="accent5" w:themeFillTint="33"/>
            <w:tcMar/>
            <w:vAlign w:val="center"/>
          </w:tcPr>
          <w:p w:rsidR="0070418F" w:rsidRDefault="00A61801" w14:paraId="6DBFB26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0418F" w:rsidRDefault="00A61801" w14:paraId="6E2CF9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0418F" w:rsidTr="5B834F12" w14:paraId="359E2068" w14:textId="77777777">
        <w:trPr>
          <w:trHeight w:val="300"/>
        </w:trPr>
        <w:tc>
          <w:tcPr>
            <w:tcW w:w="488" w:type="dxa"/>
            <w:tcMar/>
            <w:vAlign w:val="center"/>
          </w:tcPr>
          <w:p w:rsidR="0070418F" w:rsidRDefault="00A61801" w14:paraId="5F520B2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lastRenderedPageBreak/>
              <w:t>K1</w:t>
            </w:r>
          </w:p>
        </w:tc>
        <w:tc>
          <w:tcPr>
            <w:tcW w:w="6180" w:type="dxa"/>
            <w:tcMar/>
            <w:vAlign w:val="center"/>
          </w:tcPr>
          <w:p w:rsidR="0070418F" w:rsidRDefault="00A61801" w14:paraId="6983BAE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przyjęcia otwartej, bezstronnej perspektywy na zróżnicowane zjawiska społeczno-kulturowe, uznając wpływ kultury na zachowania jednostek.</w:t>
            </w:r>
          </w:p>
        </w:tc>
        <w:tc>
          <w:tcPr>
            <w:tcW w:w="1626" w:type="dxa"/>
            <w:tcMar/>
            <w:vAlign w:val="center"/>
          </w:tcPr>
          <w:p w:rsidR="0070418F" w:rsidP="000A5B3C" w:rsidRDefault="000A5B3C" w14:paraId="7DA7006B" w14:textId="34BB444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LGP_KK01</w:t>
            </w:r>
          </w:p>
        </w:tc>
        <w:tc>
          <w:tcPr>
            <w:tcW w:w="2122" w:type="dxa"/>
            <w:tcMar/>
            <w:vAlign w:val="center"/>
          </w:tcPr>
          <w:p w:rsidR="0070418F" w:rsidRDefault="00A61801" w14:paraId="0AC7FF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przypadków, aktywność na zajęciach (dyskusja, debata, pytania i odpowiedzi).</w:t>
            </w:r>
          </w:p>
        </w:tc>
      </w:tr>
      <w:tr w:rsidR="0070418F" w:rsidTr="5B834F12" w14:paraId="26F20CFE" w14:textId="77777777">
        <w:trPr>
          <w:trHeight w:val="300"/>
        </w:trPr>
        <w:tc>
          <w:tcPr>
            <w:tcW w:w="488" w:type="dxa"/>
            <w:tcMar/>
            <w:vAlign w:val="center"/>
          </w:tcPr>
          <w:p w:rsidR="0070418F" w:rsidRDefault="00A61801" w14:paraId="0E4E17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K2</w:t>
            </w:r>
          </w:p>
        </w:tc>
        <w:tc>
          <w:tcPr>
            <w:tcW w:w="6180" w:type="dxa"/>
            <w:tcMar/>
            <w:vAlign w:val="center"/>
          </w:tcPr>
          <w:p w:rsidR="0070418F" w:rsidRDefault="00A61801" w14:paraId="64EDAA98" w14:textId="3FA1E7A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samodzielnie rozwijać wiedzę i umiejętności z zakresu antropologii, w szczególności jako komplementarne wobec warsztatu </w:t>
            </w:r>
            <w:r w:rsidR="006F6E76">
              <w:rPr>
                <w:rFonts w:ascii="Garamond" w:hAnsi="Garamond" w:eastAsia="Garamond" w:cs="Garamond"/>
                <w:sz w:val="18"/>
                <w:szCs w:val="18"/>
              </w:rPr>
              <w:t>logopedy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626" w:type="dxa"/>
            <w:tcMar/>
            <w:vAlign w:val="center"/>
          </w:tcPr>
          <w:p w:rsidR="0070418F" w:rsidP="000A5B3C" w:rsidRDefault="000A5B3C" w14:paraId="0CB67605" w14:textId="4849309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LGP_KO05</w:t>
            </w:r>
          </w:p>
        </w:tc>
        <w:tc>
          <w:tcPr>
            <w:tcW w:w="2122" w:type="dxa"/>
            <w:tcMar/>
            <w:vAlign w:val="center"/>
          </w:tcPr>
          <w:p w:rsidR="0070418F" w:rsidRDefault="00A61801" w14:paraId="4EDA47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przypadków, aktywność na zajęciach (dyskusja, debata, pytania i odpowiedzi).</w:t>
            </w:r>
          </w:p>
        </w:tc>
      </w:tr>
      <w:tr w:rsidR="0070418F" w:rsidTr="5B834F12" w14:paraId="4A75D42E" w14:textId="77777777">
        <w:trPr>
          <w:trHeight w:val="300"/>
        </w:trPr>
        <w:tc>
          <w:tcPr>
            <w:tcW w:w="488" w:type="dxa"/>
            <w:tcMar/>
            <w:vAlign w:val="center"/>
          </w:tcPr>
          <w:p w:rsidR="0070418F" w:rsidRDefault="00A61801" w14:paraId="2EE926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K3</w:t>
            </w:r>
          </w:p>
        </w:tc>
        <w:tc>
          <w:tcPr>
            <w:tcW w:w="6180" w:type="dxa"/>
            <w:tcMar/>
            <w:vAlign w:val="center"/>
          </w:tcPr>
          <w:p w:rsidR="0070418F" w:rsidRDefault="00A61801" w14:paraId="416B0F4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uwzględnienia wiedzy i dorobku antropologii w generowaniu rozwiązań zróżnicowanych problemów społecznych i cywilizacyjnych we współczesności.</w:t>
            </w:r>
          </w:p>
        </w:tc>
        <w:tc>
          <w:tcPr>
            <w:tcW w:w="1626" w:type="dxa"/>
            <w:tcMar/>
            <w:vAlign w:val="center"/>
          </w:tcPr>
          <w:p w:rsidR="0070418F" w:rsidP="000A5B3C" w:rsidRDefault="000A5B3C" w14:paraId="4336CD39" w14:textId="751EE61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A5B3C">
              <w:rPr>
                <w:rFonts w:ascii="Garamond" w:hAnsi="Garamond" w:eastAsia="Garamond" w:cs="Garamond"/>
                <w:sz w:val="18"/>
                <w:szCs w:val="18"/>
              </w:rPr>
              <w:t>LGP_KO05</w:t>
            </w:r>
          </w:p>
        </w:tc>
        <w:tc>
          <w:tcPr>
            <w:tcW w:w="2122" w:type="dxa"/>
            <w:tcMar/>
            <w:vAlign w:val="center"/>
          </w:tcPr>
          <w:p w:rsidR="0070418F" w:rsidRDefault="00A61801" w14:paraId="286BCB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przypadków, aktywność na zajęciach (dyskusja, debata, pytania i odpowiedzi).</w:t>
            </w:r>
          </w:p>
        </w:tc>
      </w:tr>
    </w:tbl>
    <w:p w:rsidR="0070418F" w:rsidRDefault="0070418F" w14:paraId="2559D3B6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70418F" w:rsidRDefault="00A61801" w14:paraId="021BAF4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6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6522"/>
        <w:gridCol w:w="1701"/>
        <w:gridCol w:w="1701"/>
      </w:tblGrid>
      <w:tr w:rsidR="0070418F" w14:paraId="2C16EF6A" w14:textId="77777777">
        <w:trPr>
          <w:trHeight w:val="311"/>
        </w:trPr>
        <w:tc>
          <w:tcPr>
            <w:tcW w:w="561" w:type="dxa"/>
            <w:vMerge w:val="restart"/>
            <w:shd w:val="clear" w:color="auto" w:fill="D9E2F3"/>
            <w:vAlign w:val="center"/>
          </w:tcPr>
          <w:p w:rsidR="0070418F" w:rsidRDefault="00A61801" w14:paraId="7B201F8A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70418F" w:rsidRDefault="00A61801" w14:paraId="1A66EEC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0418F" w:rsidRDefault="00A61801" w14:paraId="79E39D5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70418F" w14:paraId="4E1DD113" w14:textId="77777777">
        <w:trPr>
          <w:trHeight w:val="311"/>
        </w:trPr>
        <w:tc>
          <w:tcPr>
            <w:tcW w:w="561" w:type="dxa"/>
            <w:vMerge/>
            <w:shd w:val="clear" w:color="auto" w:fill="D9E2F3"/>
            <w:vAlign w:val="center"/>
          </w:tcPr>
          <w:p w:rsidR="0070418F" w:rsidRDefault="0070418F" w14:paraId="06EB77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0418F" w:rsidRDefault="0070418F" w14:paraId="126643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0418F" w:rsidRDefault="00A61801" w14:paraId="7832C0D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Wykłady</w:t>
            </w:r>
          </w:p>
        </w:tc>
      </w:tr>
      <w:tr w:rsidR="0070418F" w14:paraId="74DBF279" w14:textId="77777777">
        <w:trPr>
          <w:trHeight w:val="273"/>
        </w:trPr>
        <w:tc>
          <w:tcPr>
            <w:tcW w:w="561" w:type="dxa"/>
            <w:vMerge/>
            <w:shd w:val="clear" w:color="auto" w:fill="D9E2F3"/>
            <w:vAlign w:val="center"/>
          </w:tcPr>
          <w:p w:rsidR="0070418F" w:rsidRDefault="0070418F" w14:paraId="68EAAA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0418F" w:rsidRDefault="0070418F" w14:paraId="0D917B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70418F" w:rsidRDefault="00A61801" w14:paraId="213F27C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70418F" w:rsidRDefault="00A61801" w14:paraId="0EE4A6B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0418F" w14:paraId="53FD9769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34F1F6C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1.</w:t>
            </w:r>
          </w:p>
        </w:tc>
        <w:tc>
          <w:tcPr>
            <w:tcW w:w="6522" w:type="dxa"/>
            <w:vAlign w:val="center"/>
          </w:tcPr>
          <w:p w:rsidR="0070418F" w:rsidRDefault="00A61801" w14:paraId="4196179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Wprowadzenie. Antropologia jako dyscyplina naukowa. Przedmiot badawczy antropologii. Antropologia kultury, archeologia, socjologia, psychologia – podobieństwa i różnice.</w:t>
            </w:r>
          </w:p>
        </w:tc>
        <w:tc>
          <w:tcPr>
            <w:tcW w:w="1701" w:type="dxa"/>
            <w:vAlign w:val="center"/>
          </w:tcPr>
          <w:p w:rsidR="0070418F" w:rsidRDefault="00A61801" w14:paraId="36133AF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0418F" w:rsidRDefault="00A61801" w14:paraId="1ACA0A6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4A10C4CC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42A6855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2.</w:t>
            </w:r>
          </w:p>
        </w:tc>
        <w:tc>
          <w:tcPr>
            <w:tcW w:w="6522" w:type="dxa"/>
            <w:vAlign w:val="center"/>
          </w:tcPr>
          <w:p w:rsidR="0070418F" w:rsidRDefault="00A61801" w14:paraId="0957220C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Podstawowe koncepcje antropologiczne. Kultura, społeczeństwo, rasa, grupa etniczna. Etnocentryzm, relatywizm kulturowy, perspektywa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emic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etic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0418F" w:rsidRDefault="00A61801" w14:paraId="6EC1D0F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0418F" w:rsidRDefault="00A61801" w14:paraId="1C7B87A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5BFE4834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005AB4D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3.</w:t>
            </w:r>
          </w:p>
        </w:tc>
        <w:tc>
          <w:tcPr>
            <w:tcW w:w="6522" w:type="dxa"/>
            <w:vAlign w:val="center"/>
          </w:tcPr>
          <w:p w:rsidR="0070418F" w:rsidRDefault="00A61801" w14:paraId="32D8FAD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kategorie analizy antropologicznej – mit, czas, przestrzeń, symbol, rytuał, struktury rodzinne, tożsamość i obcość.</w:t>
            </w:r>
          </w:p>
        </w:tc>
        <w:tc>
          <w:tcPr>
            <w:tcW w:w="1701" w:type="dxa"/>
            <w:vAlign w:val="center"/>
          </w:tcPr>
          <w:p w:rsidR="0070418F" w:rsidRDefault="00A61801" w14:paraId="491CF12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0418F" w:rsidRDefault="00A61801" w14:paraId="765CAA4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0B655B5D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4524D3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4.</w:t>
            </w:r>
          </w:p>
        </w:tc>
        <w:tc>
          <w:tcPr>
            <w:tcW w:w="6522" w:type="dxa"/>
            <w:vAlign w:val="center"/>
          </w:tcPr>
          <w:p w:rsidR="0070418F" w:rsidRDefault="00A61801" w14:paraId="30C068B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Antropologia w perspektywie historycznej. Szkoły myśli w antropologii. Funkcjonalizm, strukturalizm,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interpretatywizm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, prakseologia. Krytyczne perspektywy na antropologię. Antropologia a postmodernizm. Antropologia w Polsce.</w:t>
            </w:r>
          </w:p>
        </w:tc>
        <w:tc>
          <w:tcPr>
            <w:tcW w:w="1701" w:type="dxa"/>
            <w:vAlign w:val="center"/>
          </w:tcPr>
          <w:p w:rsidR="0070418F" w:rsidRDefault="00A61801" w14:paraId="607F198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0418F" w:rsidRDefault="00A61801" w14:paraId="0702A44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0A0D6BEC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4A6EC64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5.</w:t>
            </w:r>
          </w:p>
        </w:tc>
        <w:tc>
          <w:tcPr>
            <w:tcW w:w="6522" w:type="dxa"/>
            <w:vAlign w:val="center"/>
          </w:tcPr>
          <w:p w:rsidR="0070418F" w:rsidRDefault="00A61801" w14:paraId="16B9037C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Metodologia badań antropologicznych. Badania terenowe, etnografia, wywiady, metoda porównawcza, inne podejścia (genealogiczne, lingwistyczne, archeologiczne). Etyka badań antropologicznych – zgoda na udział w badaniu, ochrona osób uczestniczących w badaniach, konsekwencje publikacji badań dla badanej grupy.</w:t>
            </w:r>
          </w:p>
        </w:tc>
        <w:tc>
          <w:tcPr>
            <w:tcW w:w="1701" w:type="dxa"/>
            <w:vAlign w:val="center"/>
          </w:tcPr>
          <w:p w:rsidR="0070418F" w:rsidRDefault="00A61801" w14:paraId="52C76B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0418F" w:rsidRDefault="00A61801" w14:paraId="476BB50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6C626A53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3FF1F9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6.</w:t>
            </w:r>
          </w:p>
        </w:tc>
        <w:tc>
          <w:tcPr>
            <w:tcW w:w="6522" w:type="dxa"/>
            <w:vAlign w:val="center"/>
          </w:tcPr>
          <w:p w:rsidRPr="00697EB0" w:rsidR="0070418F" w:rsidRDefault="00A61801" w14:paraId="40EC4A0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Klasyczne badania antropologiczne – prezentacja, przegląd. </w:t>
            </w:r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Bronisław Malinowski, Clifford Geertz, Margaret Mead, Ruth Benedict, Michel Foucault </w:t>
            </w:r>
            <w:proofErr w:type="spellStart"/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i</w:t>
            </w:r>
            <w:proofErr w:type="spellEnd"/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inni</w:t>
            </w:r>
            <w:proofErr w:type="spellEnd"/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70418F" w:rsidRDefault="00A61801" w14:paraId="43E0D45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0418F" w:rsidRDefault="00A61801" w14:paraId="234014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1602EF25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1695D5F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7.</w:t>
            </w:r>
          </w:p>
        </w:tc>
        <w:tc>
          <w:tcPr>
            <w:tcW w:w="6522" w:type="dxa"/>
            <w:vAlign w:val="center"/>
          </w:tcPr>
          <w:p w:rsidR="0070418F" w:rsidRDefault="00A61801" w14:paraId="0D3DEFC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Współczesne obszary antropologii. Związki antropologii i zarządzania, kultury organizacyjnej, zarządzania międzykulturowego. Urbanizacja, globalizacja, kultura w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internecie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, człowiek a zdrowie, środowisko, klimat. Mniejszości etniczne współcześnie.</w:t>
            </w:r>
          </w:p>
        </w:tc>
        <w:tc>
          <w:tcPr>
            <w:tcW w:w="1701" w:type="dxa"/>
            <w:vAlign w:val="center"/>
          </w:tcPr>
          <w:p w:rsidR="0070418F" w:rsidRDefault="00A61801" w14:paraId="1C2340C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0418F" w:rsidRDefault="00A61801" w14:paraId="0F78528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17FFDACD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099D19B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8.</w:t>
            </w:r>
          </w:p>
        </w:tc>
        <w:tc>
          <w:tcPr>
            <w:tcW w:w="6522" w:type="dxa"/>
            <w:vAlign w:val="center"/>
          </w:tcPr>
          <w:p w:rsidR="0070418F" w:rsidRDefault="00A61801" w14:paraId="6AF0289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Antropologiczna perspektywa na Polskę. Podstawowe regiony etnograficzne w Polsce. Praktyki kulturowe w głównych obszarach regionalnych. Zmiany kulturowe w Polsce.</w:t>
            </w:r>
          </w:p>
        </w:tc>
        <w:tc>
          <w:tcPr>
            <w:tcW w:w="1701" w:type="dxa"/>
            <w:vAlign w:val="center"/>
          </w:tcPr>
          <w:p w:rsidR="0070418F" w:rsidRDefault="00A61801" w14:paraId="1A5222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0418F" w:rsidRDefault="00A61801" w14:paraId="5BEFC25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372C6E05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4D79B7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9. </w:t>
            </w:r>
          </w:p>
        </w:tc>
        <w:tc>
          <w:tcPr>
            <w:tcW w:w="6522" w:type="dxa"/>
            <w:vAlign w:val="center"/>
          </w:tcPr>
          <w:p w:rsidR="0070418F" w:rsidRDefault="00A61801" w14:paraId="518A187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Antropologiczna perspektywa na Stany Zjednoczone. Historia, kultura, rasa, płeć, klasa i praca w Stanach Zjednoczonych. Analiza fragmentów tekstów antropologicznych.</w:t>
            </w:r>
          </w:p>
        </w:tc>
        <w:tc>
          <w:tcPr>
            <w:tcW w:w="1701" w:type="dxa"/>
            <w:vAlign w:val="center"/>
          </w:tcPr>
          <w:p w:rsidR="0070418F" w:rsidRDefault="00A61801" w14:paraId="39D942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0418F" w:rsidRDefault="00A61801" w14:paraId="5EC7EF1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42547FF2" w14:textId="77777777">
        <w:trPr>
          <w:trHeight w:val="273"/>
        </w:trPr>
        <w:tc>
          <w:tcPr>
            <w:tcW w:w="561" w:type="dxa"/>
            <w:vAlign w:val="center"/>
          </w:tcPr>
          <w:p w:rsidR="0070418F" w:rsidRDefault="00A61801" w14:paraId="3E858AC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10.</w:t>
            </w:r>
          </w:p>
        </w:tc>
        <w:tc>
          <w:tcPr>
            <w:tcW w:w="6522" w:type="dxa"/>
            <w:vAlign w:val="center"/>
          </w:tcPr>
          <w:p w:rsidR="0070418F" w:rsidRDefault="00A61801" w14:paraId="242A1A1C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Antropologia a psychologia kultury – bliższe spojrzenie. Porównanie przedmiotów badań, metodologii, paradygmatów i sposobów wyjaśniania zróżnicowanych zjawisk społeczno-kulturowych.</w:t>
            </w:r>
          </w:p>
        </w:tc>
        <w:tc>
          <w:tcPr>
            <w:tcW w:w="1701" w:type="dxa"/>
            <w:vAlign w:val="center"/>
          </w:tcPr>
          <w:p w:rsidR="0070418F" w:rsidRDefault="00A61801" w14:paraId="7E387CE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0418F" w:rsidRDefault="00A61801" w14:paraId="581BEC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0418F" w14:paraId="027091B7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70418F" w:rsidRDefault="0070418F" w14:paraId="3EBD367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70418F" w:rsidRDefault="00A61801" w14:paraId="7BE02F80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70418F" w:rsidRDefault="00A61801" w14:paraId="628B36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vAlign w:val="center"/>
          </w:tcPr>
          <w:p w:rsidR="0070418F" w:rsidRDefault="00A61801" w14:paraId="11B25B9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</w:tr>
    </w:tbl>
    <w:p w:rsidR="0070418F" w:rsidP="00697EB0" w:rsidRDefault="0070418F" w14:paraId="3392D580" w14:textId="77777777">
      <w:pPr>
        <w:spacing w:before="120"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0418F" w:rsidRDefault="00A61801" w14:paraId="231555F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7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70418F" w14:paraId="0ED51A38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0418F" w:rsidRDefault="00A61801" w14:paraId="048E98C8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0418F" w:rsidRDefault="00A61801" w14:paraId="6D87D3CC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70418F" w14:paraId="5957D603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0418F" w:rsidRDefault="00A61801" w14:paraId="205B9968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0418F" w:rsidRDefault="00A61801" w14:paraId="7518F40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i/lub problemowy z prezentacją multimedialną, wykład konwersatoryjny, analiza przypadków i przykładów, dyskusja, debata.</w:t>
            </w:r>
          </w:p>
        </w:tc>
      </w:tr>
    </w:tbl>
    <w:p w:rsidR="0070418F" w:rsidRDefault="0070418F" w14:paraId="19BA26F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0418F" w:rsidP="18BF5B6D" w:rsidRDefault="00A61801" w14:paraId="15752DC5" w14:textId="77777777">
      <w:pPr>
        <w:spacing w:before="120" w:beforeAutospacing="off"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  <w:r w:rsidRPr="18BF5B6D" w:rsidR="00A61801">
        <w:rPr>
          <w:rFonts w:ascii="Garamond" w:hAnsi="Garamond" w:eastAsia="Garamond" w:cs="Garamond"/>
          <w:b w:val="1"/>
          <w:bCs w:val="1"/>
          <w:sz w:val="18"/>
          <w:szCs w:val="18"/>
        </w:rPr>
        <w:t>Warunki zaliczenia</w:t>
      </w:r>
    </w:p>
    <w:tbl>
      <w:tblPr>
        <w:tblStyle w:val="a8"/>
        <w:tblW w:w="84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2835"/>
      </w:tblGrid>
      <w:tr w:rsidR="0070418F" w14:paraId="4F57A102" w14:textId="77777777">
        <w:trPr>
          <w:trHeight w:val="440"/>
        </w:trPr>
        <w:tc>
          <w:tcPr>
            <w:tcW w:w="5637" w:type="dxa"/>
            <w:vMerge w:val="restart"/>
            <w:shd w:val="clear" w:color="auto" w:fill="D9E2F3"/>
            <w:vAlign w:val="center"/>
          </w:tcPr>
          <w:p w:rsidR="0070418F" w:rsidRDefault="00A61801" w14:paraId="4B698AD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2835" w:type="dxa"/>
            <w:shd w:val="clear" w:color="auto" w:fill="D9E2F3"/>
            <w:vAlign w:val="center"/>
          </w:tcPr>
          <w:p w:rsidR="0070418F" w:rsidRDefault="00A61801" w14:paraId="2B008E1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70418F" w14:paraId="1D79263F" w14:textId="77777777">
        <w:trPr>
          <w:trHeight w:val="440"/>
        </w:trPr>
        <w:tc>
          <w:tcPr>
            <w:tcW w:w="5637" w:type="dxa"/>
            <w:vMerge/>
            <w:shd w:val="clear" w:color="auto" w:fill="D9E2F3"/>
            <w:vAlign w:val="center"/>
          </w:tcPr>
          <w:p w:rsidR="0070418F" w:rsidRDefault="0070418F" w14:paraId="6FC89A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E2F3"/>
            <w:vAlign w:val="center"/>
          </w:tcPr>
          <w:p w:rsidR="0070418F" w:rsidRDefault="00A61801" w14:paraId="7DD63340" w14:textId="7DD32F11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70418F" w14:paraId="583872D8" w14:textId="77777777">
        <w:trPr>
          <w:trHeight w:val="263"/>
        </w:trPr>
        <w:tc>
          <w:tcPr>
            <w:tcW w:w="5637" w:type="dxa"/>
            <w:vAlign w:val="center"/>
          </w:tcPr>
          <w:p w:rsidR="0070418F" w:rsidRDefault="00A61801" w14:paraId="4BBD0C70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:rsidR="0070418F" w:rsidRDefault="00A61801" w14:paraId="2E92FE7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75</w:t>
            </w:r>
          </w:p>
        </w:tc>
      </w:tr>
      <w:tr w:rsidR="0070418F" w14:paraId="007D948C" w14:textId="77777777">
        <w:trPr>
          <w:trHeight w:val="263"/>
        </w:trPr>
        <w:tc>
          <w:tcPr>
            <w:tcW w:w="5637" w:type="dxa"/>
            <w:vAlign w:val="center"/>
          </w:tcPr>
          <w:p w:rsidR="0070418F" w:rsidRDefault="00A61801" w14:paraId="089AA5FC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Przygotowanie i przedstawienie wypowiedzi pisemnej</w:t>
            </w:r>
          </w:p>
        </w:tc>
        <w:tc>
          <w:tcPr>
            <w:tcW w:w="2835" w:type="dxa"/>
            <w:vAlign w:val="center"/>
          </w:tcPr>
          <w:p w:rsidR="0070418F" w:rsidRDefault="00A61801" w14:paraId="2FDE5C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20</w:t>
            </w:r>
          </w:p>
        </w:tc>
      </w:tr>
      <w:tr w:rsidR="0070418F" w14:paraId="1FFB1619" w14:textId="77777777">
        <w:trPr>
          <w:trHeight w:val="263"/>
        </w:trPr>
        <w:tc>
          <w:tcPr>
            <w:tcW w:w="5637" w:type="dxa"/>
            <w:vAlign w:val="center"/>
          </w:tcPr>
          <w:p w:rsidR="0070418F" w:rsidRDefault="00A61801" w14:paraId="6CB87914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2835" w:type="dxa"/>
            <w:vAlign w:val="center"/>
          </w:tcPr>
          <w:p w:rsidR="0070418F" w:rsidRDefault="00A61801" w14:paraId="7C09D3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70418F" w14:paraId="62AB2551" w14:textId="77777777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:rsidR="0070418F" w:rsidRDefault="00A61801" w14:paraId="7E8B85AF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2835" w:type="dxa"/>
            <w:vAlign w:val="center"/>
          </w:tcPr>
          <w:p w:rsidR="0070418F" w:rsidRDefault="00A61801" w14:paraId="49948B2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697EB0" w:rsidP="18BF5B6D" w:rsidRDefault="00697EB0" w14:paraId="6EA0ACBA" w14:textId="3E702EA6">
      <w:pPr>
        <w:pStyle w:val="Normalny"/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p w:rsidR="00697EB0" w:rsidRDefault="00697EB0" w14:paraId="59350D3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0418F" w:rsidRDefault="00A61801" w14:paraId="560BE1C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lastRenderedPageBreak/>
        <w:t>Rozliczenie pracy własnej studenta</w:t>
      </w:r>
    </w:p>
    <w:tbl>
      <w:tblPr>
        <w:tblStyle w:val="a9"/>
        <w:tblW w:w="9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348"/>
        <w:gridCol w:w="1455"/>
      </w:tblGrid>
      <w:tr w:rsidR="0070418F" w14:paraId="5F708E7F" w14:textId="77777777">
        <w:trPr>
          <w:trHeight w:val="300"/>
        </w:trPr>
        <w:tc>
          <w:tcPr>
            <w:tcW w:w="485" w:type="dxa"/>
            <w:vMerge w:val="restart"/>
            <w:shd w:val="clear" w:color="auto" w:fill="D9E2F3"/>
            <w:vAlign w:val="center"/>
          </w:tcPr>
          <w:p w:rsidR="0070418F" w:rsidRDefault="00A61801" w14:paraId="20E106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/>
            <w:vAlign w:val="center"/>
          </w:tcPr>
          <w:p w:rsidR="0070418F" w:rsidRDefault="00A61801" w14:paraId="73C439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03" w:type="dxa"/>
            <w:gridSpan w:val="2"/>
            <w:shd w:val="clear" w:color="auto" w:fill="D9E2F3"/>
          </w:tcPr>
          <w:p w:rsidR="0070418F" w:rsidRDefault="00A61801" w14:paraId="49D3DA7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70418F" w14:paraId="7073F1A9" w14:textId="77777777">
        <w:trPr>
          <w:trHeight w:val="300"/>
        </w:trPr>
        <w:tc>
          <w:tcPr>
            <w:tcW w:w="485" w:type="dxa"/>
            <w:vMerge/>
            <w:shd w:val="clear" w:color="auto" w:fill="D9E2F3"/>
            <w:vAlign w:val="center"/>
          </w:tcPr>
          <w:p w:rsidR="0070418F" w:rsidRDefault="0070418F" w14:paraId="7C178F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shd w:val="clear" w:color="auto" w:fill="D9E2F3"/>
            <w:vAlign w:val="center"/>
          </w:tcPr>
          <w:p w:rsidR="0070418F" w:rsidRDefault="0070418F" w14:paraId="2EF1BA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70418F" w:rsidRDefault="00A61801" w14:paraId="0A8C719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55" w:type="dxa"/>
            <w:shd w:val="clear" w:color="auto" w:fill="D9E2F3"/>
            <w:vAlign w:val="center"/>
          </w:tcPr>
          <w:p w:rsidR="0070418F" w:rsidRDefault="00A61801" w14:paraId="48EE13A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0418F" w14:paraId="344A3960" w14:textId="77777777">
        <w:trPr>
          <w:trHeight w:val="300"/>
        </w:trPr>
        <w:tc>
          <w:tcPr>
            <w:tcW w:w="485" w:type="dxa"/>
            <w:vAlign w:val="center"/>
          </w:tcPr>
          <w:p w:rsidR="0070418F" w:rsidRDefault="0070418F" w14:paraId="2B0AC8F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0418F" w:rsidRDefault="00A61801" w14:paraId="57CDA7F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vAlign w:val="center"/>
          </w:tcPr>
          <w:p w:rsidR="0070418F" w:rsidRDefault="00A61801" w14:paraId="07B28E7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1455" w:type="dxa"/>
            <w:vAlign w:val="center"/>
          </w:tcPr>
          <w:p w:rsidR="0070418F" w:rsidRDefault="00A61801" w14:paraId="680F76B7" w14:textId="202FB7C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E4212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70418F" w14:paraId="32A73DA1" w14:textId="77777777">
        <w:trPr>
          <w:trHeight w:val="300"/>
        </w:trPr>
        <w:tc>
          <w:tcPr>
            <w:tcW w:w="485" w:type="dxa"/>
            <w:vAlign w:val="center"/>
          </w:tcPr>
          <w:p w:rsidR="0070418F" w:rsidRDefault="0070418F" w14:paraId="1E87EB1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0418F" w:rsidRDefault="00A61801" w14:paraId="5F53D68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348" w:type="dxa"/>
            <w:vAlign w:val="center"/>
          </w:tcPr>
          <w:p w:rsidR="0070418F" w:rsidRDefault="00A61801" w14:paraId="2E5A0A2E" w14:textId="5D8F970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483EB9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55" w:type="dxa"/>
            <w:vAlign w:val="center"/>
          </w:tcPr>
          <w:p w:rsidR="0070418F" w:rsidRDefault="00A61801" w14:paraId="4F455A55" w14:textId="056BFEE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E421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70418F" w14:paraId="6592B931" w14:textId="77777777">
        <w:trPr>
          <w:trHeight w:val="300"/>
        </w:trPr>
        <w:tc>
          <w:tcPr>
            <w:tcW w:w="485" w:type="dxa"/>
            <w:vAlign w:val="center"/>
          </w:tcPr>
          <w:p w:rsidR="0070418F" w:rsidRDefault="0070418F" w14:paraId="54F41FA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0418F" w:rsidRDefault="00A61801" w14:paraId="346F458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="0070418F" w:rsidRDefault="00A61801" w14:paraId="2BCB09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455" w:type="dxa"/>
            <w:vAlign w:val="center"/>
          </w:tcPr>
          <w:p w:rsidR="0070418F" w:rsidRDefault="00A61801" w14:paraId="272C324F" w14:textId="570253E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  <w:r w:rsidR="003E421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70418F" w14:paraId="78D75165" w14:textId="77777777">
        <w:trPr>
          <w:trHeight w:val="300"/>
        </w:trPr>
        <w:tc>
          <w:tcPr>
            <w:tcW w:w="485" w:type="dxa"/>
            <w:vAlign w:val="center"/>
          </w:tcPr>
          <w:p w:rsidR="0070418F" w:rsidRDefault="0070418F" w14:paraId="48D78B5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0418F" w:rsidRDefault="00A61801" w14:paraId="1009F3E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8" w:type="dxa"/>
            <w:vAlign w:val="center"/>
          </w:tcPr>
          <w:p w:rsidR="0070418F" w:rsidRDefault="00483EB9" w14:paraId="68DDE610" w14:textId="6FD9F7D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455" w:type="dxa"/>
            <w:vAlign w:val="center"/>
          </w:tcPr>
          <w:p w:rsidR="0070418F" w:rsidRDefault="003E4212" w14:paraId="23CFE029" w14:textId="75ED387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</w:tr>
      <w:tr w:rsidR="0070418F" w14:paraId="1D449D99" w14:textId="77777777">
        <w:trPr>
          <w:trHeight w:val="300"/>
        </w:trPr>
        <w:tc>
          <w:tcPr>
            <w:tcW w:w="485" w:type="dxa"/>
            <w:tcBorders>
              <w:left w:val="nil"/>
              <w:bottom w:val="nil"/>
              <w:right w:val="nil"/>
            </w:tcBorders>
            <w:vAlign w:val="center"/>
          </w:tcPr>
          <w:p w:rsidR="0070418F" w:rsidRDefault="0070418F" w14:paraId="775A7AF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vAlign w:val="center"/>
          </w:tcPr>
          <w:p w:rsidR="0070418F" w:rsidRDefault="00A61801" w14:paraId="652D19F1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vAlign w:val="center"/>
          </w:tcPr>
          <w:p w:rsidR="0070418F" w:rsidRDefault="00483EB9" w14:paraId="0E493142" w14:textId="1084769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9</w:t>
            </w:r>
            <w:r w:rsidR="00A61801"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1455" w:type="dxa"/>
            <w:vAlign w:val="center"/>
          </w:tcPr>
          <w:p w:rsidR="0070418F" w:rsidRDefault="003E4212" w14:paraId="28F36A60" w14:textId="0DB9833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</w:t>
            </w:r>
            <w:r w:rsidR="00A61801"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</w:tr>
    </w:tbl>
    <w:p w:rsidR="0070418F" w:rsidRDefault="0070418F" w14:paraId="6C5EBD5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0418F" w:rsidRDefault="0070418F" w14:paraId="099191E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0418F" w:rsidRDefault="00A61801" w14:paraId="309673A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9856"/>
      </w:tblGrid>
      <w:tr w:rsidR="0070418F" w:rsidTr="3ADDF192" w14:paraId="4D09E40D" w14:textId="77777777">
        <w:trPr>
          <w:trHeight w:val="268"/>
        </w:trPr>
        <w:tc>
          <w:tcPr>
            <w:tcW w:w="600" w:type="dxa"/>
            <w:tcMar/>
            <w:vAlign w:val="center"/>
          </w:tcPr>
          <w:p w:rsidR="0070418F" w:rsidP="3ADDF192" w:rsidRDefault="00A61801" w14:paraId="16DEA9E1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9856" w:type="dxa"/>
            <w:tcMar/>
            <w:vAlign w:val="center"/>
          </w:tcPr>
          <w:p w:rsidR="0070418F" w:rsidP="3ADDF192" w:rsidRDefault="00A61801" w14:paraId="7727CDAA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Malinowski, A., Janiszewska, R., Nowak, S., 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Tuzinek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, S., Sokołowski, M. (2020). </w:t>
            </w:r>
            <w:r w:rsidRPr="3ADDF192" w:rsidR="00A61801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Antropologia. Podstawy teoretyczne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. Silva Rerum.</w:t>
            </w:r>
          </w:p>
        </w:tc>
      </w:tr>
      <w:tr w:rsidR="0070418F" w:rsidTr="3ADDF192" w14:paraId="559ED20E" w14:textId="77777777">
        <w:trPr>
          <w:trHeight w:val="268"/>
        </w:trPr>
        <w:tc>
          <w:tcPr>
            <w:tcW w:w="600" w:type="dxa"/>
            <w:tcMar/>
            <w:vAlign w:val="center"/>
          </w:tcPr>
          <w:p w:rsidR="0070418F" w:rsidP="3ADDF192" w:rsidRDefault="00A61801" w14:paraId="0F7E92C7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9856" w:type="dxa"/>
            <w:tcMar/>
            <w:vAlign w:val="center"/>
          </w:tcPr>
          <w:p w:rsidR="0070418F" w:rsidP="3ADDF192" w:rsidRDefault="00A61801" w14:paraId="05D19DC9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Matsumoto, D., Juang, L. (2022). </w:t>
            </w:r>
            <w:r w:rsidRPr="3ADDF192" w:rsidR="00A61801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  <w:lang w:val="en-US"/>
              </w:rPr>
              <w:t xml:space="preserve">Culture and psychology. 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Cengage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 Learning.</w:t>
            </w:r>
          </w:p>
        </w:tc>
      </w:tr>
      <w:tr w:rsidR="0070418F" w:rsidTr="3ADDF192" w14:paraId="5BE04388" w14:textId="77777777">
        <w:trPr>
          <w:trHeight w:val="323"/>
        </w:trPr>
        <w:tc>
          <w:tcPr>
            <w:tcW w:w="600" w:type="dxa"/>
            <w:tcMar/>
            <w:vAlign w:val="center"/>
          </w:tcPr>
          <w:p w:rsidR="0070418F" w:rsidP="3ADDF192" w:rsidRDefault="00A61801" w14:paraId="48ED391A" w14:textId="77777777">
            <w:pPr>
              <w:spacing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3.</w:t>
            </w:r>
          </w:p>
        </w:tc>
        <w:tc>
          <w:tcPr>
            <w:tcW w:w="9856" w:type="dxa"/>
            <w:tcMar/>
            <w:vAlign w:val="center"/>
          </w:tcPr>
          <w:p w:rsidR="0070418F" w:rsidP="3ADDF192" w:rsidRDefault="00A61801" w14:paraId="4FB4885D" w14:textId="77777777">
            <w:pPr>
              <w:spacing w:after="0" w:afterAutospacing="off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 xml:space="preserve">Green, J. (2022). </w:t>
            </w:r>
            <w:r w:rsidRPr="3ADDF192" w:rsidR="00A61801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Antropocen</w:t>
            </w:r>
            <w:r w:rsidRPr="3ADDF192" w:rsidR="00A61801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: twój i mój świat</w:t>
            </w:r>
            <w:r w:rsidRPr="3ADDF192" w:rsidR="00A61801">
              <w:rPr>
                <w:rFonts w:ascii="Garamond" w:hAnsi="Garamond" w:eastAsia="Garamond" w:cs="Garamond"/>
                <w:sz w:val="18"/>
                <w:szCs w:val="18"/>
              </w:rPr>
              <w:t>. Bukowy Las.</w:t>
            </w:r>
          </w:p>
        </w:tc>
      </w:tr>
    </w:tbl>
    <w:p w:rsidR="0070418F" w:rsidRDefault="0070418F" w14:paraId="458B99E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0418F" w:rsidRDefault="00A61801" w14:paraId="179B7F5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0418F" w14:paraId="0293DCC6" w14:textId="77777777">
        <w:trPr>
          <w:trHeight w:val="268"/>
        </w:trPr>
        <w:tc>
          <w:tcPr>
            <w:tcW w:w="421" w:type="dxa"/>
            <w:vAlign w:val="center"/>
          </w:tcPr>
          <w:p w:rsidR="0070418F" w:rsidRDefault="00A61801" w14:paraId="4372143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70418F" w:rsidRDefault="00A61801" w14:paraId="0A7D4384" w14:textId="77777777">
            <w:pPr>
              <w:spacing w:after="0" w:line="276" w:lineRule="auto"/>
            </w:pPr>
            <w:proofErr w:type="spellStart"/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Roncoli</w:t>
            </w:r>
            <w:proofErr w:type="spellEnd"/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C., Crane, T., &amp; Orlove, B. (2016). Fielding climate change in cultural anthropology.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Anthropology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climate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change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, 87-115.</w:t>
            </w:r>
          </w:p>
        </w:tc>
      </w:tr>
      <w:tr w:rsidR="0070418F" w14:paraId="3F439ABC" w14:textId="77777777">
        <w:trPr>
          <w:trHeight w:val="268"/>
        </w:trPr>
        <w:tc>
          <w:tcPr>
            <w:tcW w:w="421" w:type="dxa"/>
            <w:vAlign w:val="center"/>
          </w:tcPr>
          <w:p w:rsidR="0070418F" w:rsidRDefault="00A61801" w14:paraId="7D8945C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2.</w:t>
            </w:r>
          </w:p>
        </w:tc>
        <w:tc>
          <w:tcPr>
            <w:tcW w:w="10035" w:type="dxa"/>
            <w:vAlign w:val="center"/>
          </w:tcPr>
          <w:p w:rsidR="0070418F" w:rsidRDefault="00A61801" w14:paraId="16471028" w14:textId="77777777">
            <w:pPr>
              <w:spacing w:after="0" w:line="276" w:lineRule="auto"/>
            </w:pPr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Lempert, W. (2018). Generative hope in the postapocalyptic present.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Cultural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Anthropology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33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(2), 202-212.</w:t>
            </w:r>
          </w:p>
        </w:tc>
      </w:tr>
      <w:tr w:rsidRPr="006F6E76" w:rsidR="0070418F" w14:paraId="5015B88D" w14:textId="77777777">
        <w:trPr>
          <w:trHeight w:val="268"/>
        </w:trPr>
        <w:tc>
          <w:tcPr>
            <w:tcW w:w="421" w:type="dxa"/>
            <w:vAlign w:val="center"/>
          </w:tcPr>
          <w:p w:rsidR="0070418F" w:rsidRDefault="00A61801" w14:paraId="1F93EDB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3.</w:t>
            </w:r>
          </w:p>
        </w:tc>
        <w:tc>
          <w:tcPr>
            <w:tcW w:w="10035" w:type="dxa"/>
            <w:vAlign w:val="center"/>
          </w:tcPr>
          <w:p w:rsidRPr="00697EB0" w:rsidR="0070418F" w:rsidRDefault="00A61801" w14:paraId="09139A5E" w14:textId="77777777">
            <w:pPr>
              <w:spacing w:after="0" w:line="276" w:lineRule="auto"/>
              <w:rPr>
                <w:lang w:val="en-US"/>
              </w:rPr>
            </w:pPr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Lutz, C. (2017). What matters. </w:t>
            </w:r>
            <w:r w:rsidRPr="00697EB0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Cultural Anthropology</w:t>
            </w:r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</w:t>
            </w:r>
            <w:r w:rsidRPr="00697EB0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32</w:t>
            </w:r>
            <w:r w:rsidRPr="00697EB0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(2), 181-191.</w:t>
            </w:r>
          </w:p>
        </w:tc>
      </w:tr>
    </w:tbl>
    <w:p w:rsidRPr="00697EB0" w:rsidR="0070418F" w:rsidRDefault="0070418F" w14:paraId="6C55E01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70418F" w:rsidRDefault="00A61801" w14:paraId="358307F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c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0418F" w14:paraId="05A3711F" w14:textId="77777777">
        <w:trPr>
          <w:trHeight w:val="268"/>
        </w:trPr>
        <w:tc>
          <w:tcPr>
            <w:tcW w:w="421" w:type="dxa"/>
            <w:vAlign w:val="center"/>
          </w:tcPr>
          <w:p w:rsidR="0070418F" w:rsidRDefault="00A61801" w14:paraId="7ED60D6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70418F" w:rsidRDefault="00A61801" w14:paraId="74CD5E3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Fragmenty opracowań antropologicznych udostępniane przez prowadzącego.</w:t>
            </w:r>
          </w:p>
        </w:tc>
      </w:tr>
    </w:tbl>
    <w:p w:rsidR="0070418F" w:rsidRDefault="0070418F" w14:paraId="6A37545A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70418F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2D2" w:rsidRDefault="00E072D2" w14:paraId="3FAE7F2F" w14:textId="77777777">
      <w:pPr>
        <w:spacing w:after="0" w:line="240" w:lineRule="auto"/>
      </w:pPr>
      <w:r>
        <w:separator/>
      </w:r>
    </w:p>
  </w:endnote>
  <w:endnote w:type="continuationSeparator" w:id="0">
    <w:p w:rsidR="00E072D2" w:rsidRDefault="00E072D2" w14:paraId="77EFC5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18F" w:rsidRDefault="00A61801" w14:paraId="79B14A47" w14:textId="2ACBA270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Sylabus: Antropologia </w:t>
    </w:r>
    <w:r w:rsidR="00697EB0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697EB0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697EB0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30278C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70418F" w:rsidRDefault="0070418F" w14:paraId="217B8F8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2D2" w:rsidRDefault="00E072D2" w14:paraId="2A8E0214" w14:textId="77777777">
      <w:pPr>
        <w:spacing w:after="0" w:line="240" w:lineRule="auto"/>
      </w:pPr>
      <w:r>
        <w:separator/>
      </w:r>
    </w:p>
  </w:footnote>
  <w:footnote w:type="continuationSeparator" w:id="0">
    <w:p w:rsidR="00E072D2" w:rsidRDefault="00E072D2" w14:paraId="045C3A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0418F" w:rsidRDefault="00697EB0" w14:paraId="38DF4BD0" w14:textId="7FD6FC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D3263F">
      <w:rPr>
        <w:noProof/>
      </w:rPr>
      <w:drawing>
        <wp:inline distT="0" distB="0" distL="0" distR="0" wp14:anchorId="759988A2" wp14:editId="1E1BA278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7860"/>
    <w:multiLevelType w:val="multilevel"/>
    <w:tmpl w:val="B7408D70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8F"/>
    <w:rsid w:val="000A5B3C"/>
    <w:rsid w:val="002E2309"/>
    <w:rsid w:val="0030278C"/>
    <w:rsid w:val="003E4212"/>
    <w:rsid w:val="00483EB9"/>
    <w:rsid w:val="005624CB"/>
    <w:rsid w:val="006617E4"/>
    <w:rsid w:val="00697EB0"/>
    <w:rsid w:val="006F6E76"/>
    <w:rsid w:val="0070418F"/>
    <w:rsid w:val="00730794"/>
    <w:rsid w:val="00765BA0"/>
    <w:rsid w:val="00986E56"/>
    <w:rsid w:val="00A61801"/>
    <w:rsid w:val="00D35DC8"/>
    <w:rsid w:val="00D52DAE"/>
    <w:rsid w:val="00E072D2"/>
    <w:rsid w:val="00E818ED"/>
    <w:rsid w:val="00EA244B"/>
    <w:rsid w:val="02C9D0E6"/>
    <w:rsid w:val="0EFBD23C"/>
    <w:rsid w:val="1026A307"/>
    <w:rsid w:val="10876E51"/>
    <w:rsid w:val="145EA2F8"/>
    <w:rsid w:val="16377D98"/>
    <w:rsid w:val="17AC8AEF"/>
    <w:rsid w:val="18BF5B6D"/>
    <w:rsid w:val="236B4202"/>
    <w:rsid w:val="25C676E4"/>
    <w:rsid w:val="38AC2813"/>
    <w:rsid w:val="3ADDF192"/>
    <w:rsid w:val="3B8432DC"/>
    <w:rsid w:val="47B9AEEB"/>
    <w:rsid w:val="4C31F20D"/>
    <w:rsid w:val="4C31F20D"/>
    <w:rsid w:val="4F072CAB"/>
    <w:rsid w:val="5A410E87"/>
    <w:rsid w:val="5B834F12"/>
    <w:rsid w:val="5CC3BF07"/>
    <w:rsid w:val="6263F7B0"/>
    <w:rsid w:val="6F9A20B0"/>
    <w:rsid w:val="7575E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B9178"/>
  <w15:docId w15:val="{3BA1E6A2-0F1C-4BC1-A4BE-7B65196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6" w:customStyle="1">
    <w:basedOn w:val="Standardowy"/>
    <w:tblPr>
      <w:tblStyleRowBandSize w:val="1"/>
      <w:tblStyleColBandSize w:val="1"/>
    </w:tblPr>
  </w:style>
  <w:style w:type="table" w:styleId="a7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table" w:styleId="ac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Ys3jdDMoTd3DDLn9mrceuSDmw==">CgMxLjA4AHIhMXJEVmFjWV95U0Ztb0V3U0R3dHBlM3NVT2VzSkgySW1x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5D4DE3-4FC5-4773-A994-C5BB7D11AF90}"/>
</file>

<file path=customXml/itemProps3.xml><?xml version="1.0" encoding="utf-8"?>
<ds:datastoreItem xmlns:ds="http://schemas.openxmlformats.org/officeDocument/2006/customXml" ds:itemID="{5CD21F8B-7F9E-40C9-8224-E691B956667C}"/>
</file>

<file path=customXml/itemProps4.xml><?xml version="1.0" encoding="utf-8"?>
<ds:datastoreItem xmlns:ds="http://schemas.openxmlformats.org/officeDocument/2006/customXml" ds:itemID="{5D18B6F9-0441-48BF-A1EA-7640403AAE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Marcin Domagała AEH</cp:lastModifiedBy>
  <cp:revision>17</cp:revision>
  <dcterms:created xsi:type="dcterms:W3CDTF">2024-10-30T07:53:00Z</dcterms:created>
  <dcterms:modified xsi:type="dcterms:W3CDTF">2026-01-14T13:50:46Z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