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="00AB0DE7" w:rsidP="00B76B14" w:rsidRDefault="00AB0DE7" w14:paraId="21AB0430" w14:textId="77777777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r w:rsidRPr="00AB0DE7">
        <w:rPr>
          <w:rFonts w:ascii="Garamond" w:hAnsi="Garamond" w:cs="Times New Roman"/>
          <w:b/>
          <w:sz w:val="24"/>
          <w:szCs w:val="24"/>
          <w:lang w:val="pl-PL"/>
        </w:rPr>
        <w:t>Anatomia i fizjologia narządów mowy, głosu i słuchu</w:t>
      </w:r>
    </w:p>
    <w:p w:rsidRPr="00AB0DE7" w:rsidR="009C486D" w:rsidP="00B76B14" w:rsidRDefault="00AB0DE7" w14:paraId="7DC0E7A8" w14:textId="7E3DF673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r w:rsidRPr="00AB0DE7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Anatomy and Physiology of </w:t>
      </w:r>
      <w:proofErr w:type="gramStart"/>
      <w:r w:rsidRPr="00AB0DE7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the Speech</w:t>
      </w:r>
      <w:proofErr w:type="gramEnd"/>
      <w:r w:rsidRPr="00AB0DE7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, Voice, and Hearing Organs</w:t>
      </w:r>
    </w:p>
    <w:p w:rsidRPr="00AB0DE7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14155450" w:rsidTr="14155450" w14:paraId="6DD261C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14155450" w:rsidP="14155450" w:rsidRDefault="14155450" w14:paraId="2FDCDFCA" w14:textId="4A2C110D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155450" w:rsidR="14155450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14155450" w:rsidP="14155450" w:rsidRDefault="14155450" w14:paraId="2555C82C" w14:textId="7E8FFA8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4155450" w:rsidR="1415545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F2692E" w:rsidTr="14155450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4A59DEF9" w14:textId="5E56DCF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proofErr w:type="spellStart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  <w:proofErr w:type="spellEnd"/>
          </w:p>
        </w:tc>
      </w:tr>
      <w:tr w:rsidRPr="00875AA8" w:rsidR="00F2692E" w:rsidTr="14155450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0109B263" w14:textId="5EB1ED52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Rok I/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Semestr</w:t>
            </w:r>
            <w:proofErr w:type="spellEnd"/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 II</w:t>
            </w:r>
          </w:p>
        </w:tc>
      </w:tr>
      <w:tr w:rsidRPr="00875AA8" w:rsidR="00F2692E" w:rsidTr="14155450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5C7EB03F" w14:textId="3BD927F9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Studia I </w:t>
            </w:r>
            <w:proofErr w:type="spellStart"/>
            <w:r>
              <w:rPr>
                <w:rFonts w:ascii="Garamond" w:hAnsi="Garamond" w:eastAsia="Garamond" w:cs="Garamond"/>
                <w:sz w:val="20"/>
                <w:szCs w:val="20"/>
              </w:rPr>
              <w:t>stopnia</w:t>
            </w:r>
            <w:proofErr w:type="spellEnd"/>
          </w:p>
        </w:tc>
      </w:tr>
      <w:tr w:rsidRPr="00875AA8" w:rsidR="00F2692E" w:rsidTr="14155450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7AE44679" w14:textId="56BB5793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proofErr w:type="spellStart"/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  <w:proofErr w:type="spellEnd"/>
          </w:p>
        </w:tc>
      </w:tr>
      <w:tr w:rsidRPr="00875AA8" w:rsidR="00F2692E" w:rsidTr="14155450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0FF5FAE8" w14:textId="58F54A8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F2692E" w:rsidTr="14155450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F2692E" w:rsidP="00F2692E" w:rsidRDefault="00F2692E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F2692E" w:rsidP="00F2692E" w:rsidRDefault="00F2692E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Pr="00875AA8" w:rsidR="00F2692E" w:rsidP="00F2692E" w:rsidRDefault="00F2692E" w14:paraId="4B07007B" w14:textId="2470DF1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207D04" w:rsidTr="14155450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970330447"/>
              <w:placeholder>
                <w:docPart w:val="6C25D734C3D64305AAA53AF6CFE3903E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Pr="00F2692E" w:rsidR="00207D04" w:rsidP="00F2692E" w:rsidRDefault="00F2692E" w14:paraId="004E77B0" w14:textId="26E959D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1DE2AC8A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342C36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495CA6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234F7BA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B4837D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495CA6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C943D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495CA6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3E00A4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495CA6E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1DE2AC8A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00920AD1" w:rsidRDefault="00B01CE3" w14:paraId="51F08B21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00920AD1" w:rsidRDefault="00B01CE3" w14:paraId="14164702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1DE2AC8A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F2692E" w14:paraId="18AB970B" w14:textId="5DAA9CDE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AB0DE7" w14:paraId="09CE4F13" w14:textId="5A78D53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AB0DE7" w14:paraId="4ABC49B8" w14:textId="7C7E672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00207D04" w:rsidRDefault="00AB0DE7" w14:paraId="3464EC10" w14:textId="51C51E3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 w:rsidRPr="1DE2AC8A" w:rsidR="7DDCBB06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F2692E" w14:paraId="1EC101F3" w14:textId="3480503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AB0DE7" w14:paraId="6D747C79" w14:textId="4B95B72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1DE2AC8A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F2692E" w14:paraId="083BEEF9" w14:textId="3BEFDB7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AB0DE7" w14:paraId="7E4B7DE7" w14:textId="63C0BC6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AB0DE7" w14:paraId="3129F0A5" w14:textId="19DF7F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F2692E" w14:paraId="27B5CFE3" w14:textId="176461A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00CA45BB" w:rsidRDefault="00AB0DE7" w14:paraId="04F50445" w14:textId="193D4FDC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1DE2AC8A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00A73FE6" w:rsidRDefault="00A73FE6" w14:paraId="235BC025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00A73FE6" w:rsidRDefault="00AB0DE7" w14:paraId="11E6FED8" w14:textId="6CE3782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Pr="006A1E4A" w:rsidR="00A73FE6" w:rsidP="00A73FE6" w:rsidRDefault="00AB0DE7" w14:paraId="65CB6F2C" w14:textId="1C2E5B3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1DE2AC8A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AB0DE7" w14:paraId="53831D0B" w14:textId="163A3F4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AB0DE7" w14:paraId="67FE05C3" w14:textId="7514CC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1DE2AC8A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4245214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2D4079D9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AB0DE7" w14:paraId="711A93F5" w14:textId="417DDC6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00A73FE6" w:rsidRDefault="00AB0DE7" w14:paraId="23AAFED0" w14:textId="67C0E2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60A6D84A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207D04" w:rsidTr="29C4FD9D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29C4FD9D" w:rsidP="29C4FD9D" w:rsidRDefault="29C4FD9D" w14:paraId="16B3E1BD" w14:textId="654BCF17">
            <w:pPr>
              <w:spacing w:before="0" w:beforeAutospacing="off" w:after="0" w:afterAutospacing="off" w:line="276" w:lineRule="auto"/>
              <w:jc w:val="both"/>
            </w:pPr>
            <w:r w:rsidRPr="29C4FD9D" w:rsidR="29C4FD9D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Zrozumienie mechanizmów mowy i słyszenia w ujęciu funkcjonalnego łańcucha (oddech–fonacja–artykulacja–rezonans–odbiór) oraz ich znaczenia dla jakości głosu, zrozumiałości i skuteczności komunikacji.</w:t>
            </w:r>
          </w:p>
        </w:tc>
      </w:tr>
      <w:tr w:rsidRPr="00875AA8" w:rsidR="00207D04" w:rsidTr="29C4FD9D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29C4FD9D" w:rsidP="29C4FD9D" w:rsidRDefault="29C4FD9D" w14:paraId="0800571B" w14:textId="0757D052">
            <w:pPr>
              <w:spacing w:before="0" w:beforeAutospacing="off" w:after="0" w:afterAutospacing="off" w:line="276" w:lineRule="auto"/>
              <w:jc w:val="both"/>
            </w:pPr>
            <w:r w:rsidRPr="29C4FD9D" w:rsidR="29C4FD9D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Opanowanie podstaw analizy funkcjonalno-akustycznej mowy i głosu: łączenie odsłuchu z elementarną interpretacją parametrów akustycznych i prostych spektrogramów oraz przekładanie obserwacji na zwięzły opis funkcjonalny.</w:t>
            </w:r>
          </w:p>
        </w:tc>
      </w:tr>
      <w:tr w:rsidRPr="00875AA8" w:rsidR="00207D04" w:rsidTr="29C4FD9D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207D04" w:rsidP="00207D04" w:rsidRDefault="00207D04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  <w:vAlign w:val="center"/>
          </w:tcPr>
          <w:p w:rsidR="29C4FD9D" w:rsidP="29C4FD9D" w:rsidRDefault="29C4FD9D" w14:paraId="01D247DB" w14:textId="73B3B839">
            <w:pPr>
              <w:spacing w:before="0" w:beforeAutospacing="off" w:after="0" w:afterAutospacing="off" w:line="276" w:lineRule="auto"/>
              <w:jc w:val="both"/>
            </w:pPr>
            <w:r w:rsidRPr="29C4FD9D" w:rsidR="29C4FD9D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Przygotowanie do praktyki profilaktyczno-oceniającej w logopedii: stosowanie zasad higieny i ergonomii głosu, orientacja w nieinwazyjnych metodach oceny narządów mowy i słuchu oraz formułowanie wniosków wspierających dalsze postępowanie.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60A6D84A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7AE66B89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7AE66B89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66E2D6DE" w:rsidRDefault="00207D04" w14:paraId="443C8B14" w14:textId="4A2323F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6E2D6D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2B7AFD" w:rsidR="002B7AFD" w:rsidTr="7AE66B89" w14:paraId="2391922D" w14:textId="77777777">
        <w:tc>
          <w:tcPr>
            <w:tcW w:w="562" w:type="dxa"/>
            <w:tcMar/>
            <w:vAlign w:val="center"/>
          </w:tcPr>
          <w:p w:rsidRPr="00875AA8" w:rsidR="002B7AFD" w:rsidP="002B7AFD" w:rsidRDefault="002B7AFD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518C86E0" w:rsidP="518C86E0" w:rsidRDefault="518C86E0" w14:paraId="2849CF2C" w14:textId="1FC884DF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kluczowe mechanizmy artykulacji i rezonansu w mowie, w tym współdziałanie narządów mowy w mowie ciągłej oraz rolę konfiguracji traktu głosowego w kształtowaniu barwy i czytelności brzmienia.</w:t>
            </w:r>
          </w:p>
        </w:tc>
        <w:tc>
          <w:tcPr>
            <w:tcW w:w="1559" w:type="dxa"/>
            <w:tcMar/>
            <w:vAlign w:val="center"/>
          </w:tcPr>
          <w:p w:rsidRPr="00AB0DE7" w:rsidR="002B7AFD" w:rsidP="002B7AFD" w:rsidRDefault="002B7AFD" w14:paraId="6B9CAB02" w14:textId="11D1D79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LGP_WG05</w:t>
            </w:r>
          </w:p>
        </w:tc>
        <w:tc>
          <w:tcPr>
            <w:tcW w:w="2551" w:type="dxa"/>
            <w:tcMar/>
            <w:vAlign w:val="center"/>
          </w:tcPr>
          <w:p w:rsidRPr="00875AA8" w:rsidR="002B7AFD" w:rsidP="002B7AFD" w:rsidRDefault="002B7AFD" w14:paraId="74595EAA" w14:textId="49DFBD3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2B7AFD" w:rsidR="002B7AFD" w:rsidTr="7AE66B89" w14:paraId="68FA7454" w14:textId="77777777">
        <w:tc>
          <w:tcPr>
            <w:tcW w:w="562" w:type="dxa"/>
            <w:tcMar/>
            <w:vAlign w:val="center"/>
          </w:tcPr>
          <w:p w:rsidRPr="00875AA8" w:rsidR="002B7AFD" w:rsidP="002B7AFD" w:rsidRDefault="002B7AFD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518C86E0" w:rsidP="518C86E0" w:rsidRDefault="518C86E0" w14:paraId="418B3DFC" w14:textId="3FCC80D7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zmienność rozwojową narządów mowy i słuchu oraz jej znaczenie dla komunikacji, w tym kamienie milowe rozwoju.</w:t>
            </w:r>
          </w:p>
        </w:tc>
        <w:tc>
          <w:tcPr>
            <w:tcW w:w="1559" w:type="dxa"/>
            <w:tcMar/>
            <w:vAlign w:val="center"/>
          </w:tcPr>
          <w:p w:rsidRPr="00AB0DE7" w:rsidR="002B7AFD" w:rsidP="002B7AFD" w:rsidRDefault="002B7AFD" w14:paraId="3C2C4FFD" w14:textId="41A4CDA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LGP_WG06</w:t>
            </w:r>
          </w:p>
        </w:tc>
        <w:tc>
          <w:tcPr>
            <w:tcW w:w="2551" w:type="dxa"/>
            <w:tcMar/>
            <w:vAlign w:val="center"/>
          </w:tcPr>
          <w:p w:rsidRPr="00875AA8" w:rsidR="002B7AFD" w:rsidP="002B7AFD" w:rsidRDefault="002B7AFD" w14:paraId="0B0564D8" w14:textId="000EED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2B7AFD" w:rsidR="002B7AFD" w:rsidTr="7AE66B89" w14:paraId="677EA5F8" w14:textId="77777777">
        <w:tc>
          <w:tcPr>
            <w:tcW w:w="562" w:type="dxa"/>
            <w:tcMar/>
            <w:vAlign w:val="center"/>
          </w:tcPr>
          <w:p w:rsidRPr="00875AA8" w:rsidR="002B7AFD" w:rsidP="002B7AFD" w:rsidRDefault="002B7AFD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518C86E0" w:rsidP="518C86E0" w:rsidRDefault="518C86E0" w14:paraId="13EC3A66" w14:textId="24AEFDE1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mechanizmy normy i typowych odchyleń w mowie i głosie w ujęciu funkcjonalnym (oddech–fonacja–artykulacja–rezonans–odbiór).</w:t>
            </w:r>
          </w:p>
        </w:tc>
        <w:tc>
          <w:tcPr>
            <w:tcW w:w="1559" w:type="dxa"/>
            <w:tcMar/>
            <w:vAlign w:val="center"/>
          </w:tcPr>
          <w:p w:rsidRPr="00AB0DE7" w:rsidR="002B7AFD" w:rsidP="002B7AFD" w:rsidRDefault="002B7AFD" w14:paraId="5A687055" w14:textId="3A47C9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LGP_WG11</w:t>
            </w:r>
          </w:p>
        </w:tc>
        <w:tc>
          <w:tcPr>
            <w:tcW w:w="2551" w:type="dxa"/>
            <w:tcMar/>
            <w:vAlign w:val="center"/>
          </w:tcPr>
          <w:p w:rsidRPr="00875AA8" w:rsidR="002B7AFD" w:rsidP="002B7AFD" w:rsidRDefault="002B7AFD" w14:paraId="73AA4DFC" w14:textId="6CAC43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  <w:tr w:rsidRPr="002B7AFD" w:rsidR="002B7AFD" w:rsidTr="7AE66B89" w14:paraId="5CDB24DA" w14:textId="77777777">
        <w:tc>
          <w:tcPr>
            <w:tcW w:w="562" w:type="dxa"/>
            <w:tcMar/>
            <w:vAlign w:val="center"/>
          </w:tcPr>
          <w:p w:rsidRPr="00875AA8" w:rsidR="002B7AFD" w:rsidP="002B7AFD" w:rsidRDefault="002B7AFD" w14:paraId="1D452AEB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="518C86E0" w:rsidP="518C86E0" w:rsidRDefault="518C86E0" w14:paraId="11386A97" w14:textId="0F548C5D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zna i rozumie zaawansowaną terminologię logopedyczną dotyczącą produkcji i percepcji mowy.</w:t>
            </w:r>
          </w:p>
        </w:tc>
        <w:tc>
          <w:tcPr>
            <w:tcW w:w="1559" w:type="dxa"/>
            <w:tcMar/>
            <w:vAlign w:val="center"/>
          </w:tcPr>
          <w:p w:rsidRPr="00AB0DE7" w:rsidR="002B7AFD" w:rsidP="002B7AFD" w:rsidRDefault="002B7AFD" w14:paraId="79EEEF02" w14:textId="6C24FD7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LGP_WG13</w:t>
            </w:r>
          </w:p>
        </w:tc>
        <w:tc>
          <w:tcPr>
            <w:tcW w:w="2551" w:type="dxa"/>
            <w:tcMar/>
            <w:vAlign w:val="center"/>
          </w:tcPr>
          <w:p w:rsidRPr="00875AA8" w:rsidR="002B7AFD" w:rsidP="002B7AFD" w:rsidRDefault="002B7AFD" w14:paraId="5E54234D" w14:textId="68F778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otwarte.</w:t>
            </w:r>
          </w:p>
        </w:tc>
      </w:tr>
    </w:tbl>
    <w:p w:rsidRPr="00F2692E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7AE66B89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UMIEJĘTNOŚCI</w:t>
            </w:r>
          </w:p>
        </w:tc>
      </w:tr>
      <w:tr w:rsidRPr="002B7AFD" w:rsidR="00207D04" w:rsidTr="7AE66B89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66E2D6DE" w:rsidRDefault="00207D04" w14:paraId="5829B417" w14:textId="3C8012C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6E2D6DE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2B7AFD" w:rsidR="002B7AFD" w:rsidTr="7AE66B89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B7AFD" w:rsidP="002B7AFD" w:rsidRDefault="002B7AFD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518C86E0" w:rsidP="518C86E0" w:rsidRDefault="518C86E0" w14:paraId="22EEA574" w14:textId="2D3B1636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opisywać funkcjonalnie obserwowane zjawiska w mowie i głosie, wskazując możliwe mechanizmy w łańcuchu oddech–fonacja–artykulacja–rezonans oraz ich konsekwencje dla skuteczności komunikacji.</w:t>
            </w:r>
          </w:p>
        </w:tc>
        <w:tc>
          <w:tcPr>
            <w:tcW w:w="1560" w:type="dxa"/>
            <w:tcMar/>
            <w:vAlign w:val="center"/>
          </w:tcPr>
          <w:p w:rsidRPr="00875AA8" w:rsidR="002B7AFD" w:rsidP="002B7AFD" w:rsidRDefault="002B7AFD" w14:paraId="4722CF89" w14:textId="229C09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LGP_UW02</w:t>
            </w:r>
          </w:p>
        </w:tc>
        <w:tc>
          <w:tcPr>
            <w:tcW w:w="2552" w:type="dxa"/>
            <w:tcMar/>
            <w:vAlign w:val="center"/>
          </w:tcPr>
          <w:p w:rsidRPr="00875AA8" w:rsidR="002B7AFD" w:rsidP="002B7AFD" w:rsidRDefault="002B7AFD" w14:paraId="1D809E5A" w14:textId="58625F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  <w:tr w:rsidRPr="002B7AFD" w:rsidR="002B7AFD" w:rsidTr="7AE66B89" w14:paraId="7F0D8D2E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B7AFD" w:rsidP="002B7AFD" w:rsidRDefault="002B7AFD" w14:paraId="159B165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518C86E0" w:rsidP="518C86E0" w:rsidRDefault="518C86E0" w14:paraId="11B88D56" w14:textId="329A7EED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na podstawie obserwacji funkcjonalnej mowy i głosu oraz wstępnych, nieinwazyjnych wyników oceny rozpoznać sygnały wymagające konsultacji specjalistycznej (laryngologicznej lub audiologicznej).</w:t>
            </w:r>
          </w:p>
        </w:tc>
        <w:tc>
          <w:tcPr>
            <w:tcW w:w="1560" w:type="dxa"/>
            <w:tcMar/>
            <w:vAlign w:val="center"/>
          </w:tcPr>
          <w:p w:rsidRPr="00875AA8" w:rsidR="002B7AFD" w:rsidP="002B7AFD" w:rsidRDefault="002B7AFD" w14:paraId="193133C9" w14:textId="571F0C3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LGP_UW10</w:t>
            </w:r>
          </w:p>
        </w:tc>
        <w:tc>
          <w:tcPr>
            <w:tcW w:w="2552" w:type="dxa"/>
            <w:tcMar/>
            <w:vAlign w:val="center"/>
          </w:tcPr>
          <w:p w:rsidRPr="00875AA8" w:rsidR="002B7AFD" w:rsidP="002B7AFD" w:rsidRDefault="002B7AFD" w14:paraId="0F9C6CFB" w14:textId="5826A66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  <w:tr w:rsidRPr="002B7AFD" w:rsidR="002B7AFD" w:rsidTr="7AE66B89" w14:paraId="615AF55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2B7AFD" w:rsidP="002B7AFD" w:rsidRDefault="002B7AFD" w14:paraId="37CB96D1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="518C86E0" w:rsidP="518C86E0" w:rsidRDefault="518C86E0" w14:paraId="4D43E88F" w14:textId="7251CDA2">
            <w:pPr>
              <w:spacing w:before="0" w:beforeAutospacing="off" w:after="0" w:afterAutospacing="off"/>
              <w:jc w:val="both"/>
            </w:pPr>
            <w:r w:rsidRPr="518C86E0" w:rsidR="518C86E0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Student potrafi stosować zasady higieny i ergonomii głosu oraz wdrażać zalecenia wspierające ochronę i ekonomię głosu w działaniach profilaktycznych logopedycznych.</w:t>
            </w:r>
          </w:p>
        </w:tc>
        <w:tc>
          <w:tcPr>
            <w:tcW w:w="1560" w:type="dxa"/>
            <w:tcMar/>
            <w:vAlign w:val="center"/>
          </w:tcPr>
          <w:p w:rsidRPr="00AB0DE7" w:rsidR="002B7AFD" w:rsidP="002B7AFD" w:rsidRDefault="002B7AFD" w14:paraId="0DE6E49F" w14:textId="17D31E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</w:tc>
        <w:tc>
          <w:tcPr>
            <w:tcW w:w="2552" w:type="dxa"/>
            <w:tcMar/>
            <w:vAlign w:val="center"/>
          </w:tcPr>
          <w:p w:rsidRPr="00875AA8" w:rsidR="002B7AFD" w:rsidP="002B7AFD" w:rsidRDefault="002B7AFD" w14:paraId="6DDD643A" w14:textId="5B401A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AE66B89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problemów).</w:t>
            </w:r>
          </w:p>
        </w:tc>
      </w:tr>
    </w:tbl>
    <w:p w:rsidRPr="002B7AFD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1CEC7945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207D04" w:rsidTr="1CEC7945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1CEC7945" w:rsidRDefault="00207D04" w14:paraId="4BFE290A" w14:textId="7977E8A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CEC7945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0A6D84A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efektów uczenia się</w:t>
            </w:r>
          </w:p>
        </w:tc>
      </w:tr>
      <w:tr w:rsidRPr="002B7AFD" w:rsidR="002B7AFD" w:rsidTr="1CEC7945" w14:paraId="59D20BFD" w14:textId="77777777">
        <w:tc>
          <w:tcPr>
            <w:tcW w:w="562" w:type="dxa"/>
            <w:tcMar/>
            <w:vAlign w:val="center"/>
          </w:tcPr>
          <w:p w:rsidRPr="00875AA8" w:rsidR="002B7AFD" w:rsidP="002B7AFD" w:rsidRDefault="002B7AFD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2B7AFD" w:rsidP="518C86E0" w:rsidRDefault="002B7AFD" w14:paraId="7E36E39D" w14:textId="55DF34C6">
            <w:pPr>
              <w:pStyle w:val="Normalny"/>
              <w:spacing w:after="0" w:line="240" w:lineRule="auto"/>
              <w:jc w:val="both"/>
            </w:pPr>
            <w:r w:rsidRPr="518C86E0" w:rsidR="7EA99E44">
              <w:rPr>
                <w:rFonts w:ascii="Garamond" w:hAnsi="Garamond" w:eastAsia="Garamond" w:cs="Garamond"/>
                <w:noProof w:val="0"/>
                <w:sz w:val="18"/>
                <w:szCs w:val="18"/>
                <w:lang w:val="pl"/>
              </w:rPr>
              <w:t>Student jest gotów do poszukiwania wsparcia interdyscyplinarnego i współpracy ze specjalistami zawsze wtedy, gdy wymaga tego rzetelna ocena i dalsze postępowanie diagnostyczne i terapeutyczne.</w:t>
            </w:r>
          </w:p>
        </w:tc>
        <w:tc>
          <w:tcPr>
            <w:tcW w:w="1559" w:type="dxa"/>
            <w:tcMar/>
            <w:vAlign w:val="center"/>
          </w:tcPr>
          <w:p w:rsidRPr="00875AA8" w:rsidR="002B7AFD" w:rsidP="002B7AFD" w:rsidRDefault="002B7AFD" w14:paraId="1AC6F194" w14:textId="5568849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B0DE7">
              <w:rPr>
                <w:rFonts w:ascii="Garamond" w:hAnsi="Garamond" w:cs="Times New Roman"/>
                <w:sz w:val="18"/>
                <w:szCs w:val="18"/>
                <w:lang w:val="pl-PL"/>
              </w:rPr>
              <w:t>LGP_KK04</w:t>
            </w:r>
          </w:p>
        </w:tc>
        <w:tc>
          <w:tcPr>
            <w:tcW w:w="2558" w:type="dxa"/>
            <w:tcMar/>
            <w:vAlign w:val="center"/>
          </w:tcPr>
          <w:p w:rsidRPr="00875AA8" w:rsidR="002B7AFD" w:rsidP="002B7AFD" w:rsidRDefault="002B7AFD" w14:paraId="5D2E71D6" w14:textId="4BD4EC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DE2AC8A" w:rsidR="3EC0061D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227032E3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1CEC7945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148B3BD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148B3BD4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1CEC7945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4E62ADE3" w14:textId="6E41DBF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FA20D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00920AD1" w:rsidRDefault="008C1D0A" w14:paraId="3AB5AA0B" w14:textId="20F23C6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="00FA20DE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FE1A88" w:rsidR="00725B28" w:rsidTr="1CEC7945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76FA6F1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0083ADC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00920AD1" w:rsidRDefault="00725B28" w14:paraId="56AE739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00920AD1" w:rsidRDefault="00725B28" w14:paraId="7D95994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725B28" w:rsidTr="1CEC7945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6D1A987E" w14:textId="0F09D553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Funkcjonalny łańcuch produkcji i percepcji mowy. Model: oddech → fonacja → artykulacja → rezonans → odbiór. Zależności między ogniwami; kompensacje i skutki dla zrozumiałości. Kryteria opisu funkcjonalnego: nośność, czytelność, barwa, stabilność, prozodia.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9C0DF69" w14:textId="076011F6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96F00B1" w14:textId="44ABE226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5B7ADE64" w14:textId="48E9513F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14959E98" w14:textId="0605285A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</w:tr>
      <w:tr w:rsidRPr="00FE1A88" w:rsidR="00725B28" w:rsidTr="1CEC7945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7C785518" w14:textId="11087258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Oddech w mowie: mechanika i koordynacja. Ciśnienie podgłośniowe jako warunek głośności i stabilności. Rytm wdech–wydech w mowie; planowanie oddechowe w frazie. Koordynacja wydechu z początkiem dźwięku; organizacja startu fonacji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21C70326" w14:textId="1F3DB57A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75178759" w14:textId="3993D4DC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C811299" w14:textId="7F9D0BDB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7850A21" w14:textId="56D97A81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</w:tr>
      <w:tr w:rsidRPr="00FE1A88" w:rsidR="00725B28" w:rsidTr="1CEC7945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6973720F" w14:textId="125149C0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Fonacja: źródło krtaniowe i regulacja parametrów głosu. Wytwarzanie tonu krtaniowego; warunki efektywnej fonacji. Sterowanie wysokością i głośnością; relacja fonacja–oddech. Stabilność źródła dźwięku; typowe oznaki niestabilności w odsłuchu.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1AA8E981" w14:textId="4C5D3FB6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27425225" w14:textId="156CD224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6BBF911E" w14:textId="28515F94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AE15ECE" w14:textId="6F586227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</w:tr>
      <w:tr w:rsidRPr="00FE1A88" w:rsidR="00725B28" w:rsidTr="1CEC7945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20DBBAB5" w14:textId="425AD010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Rezonans: kształtowanie barwy i sprzężenie nosowe/ustne. Rola jamy gardłowej i ustnej w modelowaniu brzmienia. Udział jamy nosowej; komponent nosowy w sygnale mowy. Podniebienie miękkie; mechanizm sprzężenia nosowego/ustnego.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5E42452C" w14:textId="5064A8D1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573F5766" w14:textId="29E521AA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B335FBF" w14:textId="680E900B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FDBB596" w14:textId="3A333143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</w:tr>
      <w:tr w:rsidRPr="00FE1A88" w:rsidR="00725B28" w:rsidTr="1CEC7945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2DD85AE3" w14:textId="6819E3D6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Artykulacja: biomechanika i mowa ciągła. Biomechanika żuchwy, języka i warg; współdziałanie segmentów. Koartykulacja jako norma w mowie; wpływ kontekstu na realizację głosek. </w:t>
            </w: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en-GB"/>
              </w:rPr>
              <w:t>Postawa ciała a czytelność brzmienia; ograniczenia i kompensacje ruchowe.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B92C6A5" w14:textId="391224BE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5AF57A83" w14:textId="146ADED2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31BDFCB" w14:textId="7C9A32D4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68CF4E34" w14:textId="1471366C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</w:tr>
      <w:tr w:rsidRPr="00FE1A88" w:rsidR="00725B28" w:rsidTr="1CEC7945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505C6B93" w14:textId="2944D4A7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Integracja oddech–fonacja–artykulacja: schematy funkcjonalne. Łączenie procesów w prostych modelach: objaw → mechanizm → skutek komunikacyjny. Rozróżnianie przyczyny pierwotnej i kompensacji. Budowanie krótkich opisów funkcjonalnych na podstawie obserwacji i odsłuchu. 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7F0876D" w14:textId="04E16065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1FC3D632" w14:textId="6709CD6A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7673C819" w14:textId="089A28C7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D15D944" w14:textId="7D3B5B8B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</w:tr>
      <w:tr w:rsidRPr="00FE1A88" w:rsidR="00725B28" w:rsidTr="1CEC7945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6E1499D4" w14:textId="2A44E26D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Akustyka mowy dla praktyka: podstawowe parametry i prozodia. Model źródło–filtr; interpretacja praktyczna. Widmo; formanty samogłoskowe jako wskaźniki ustawień traktu głosowego. Parametry spółgłosek, m.in. czas VOT; kontury prozodyczne w zapisie akustycznym.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4EDF23E" w14:textId="107DC7E2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17A753E5" w14:textId="78AC7E55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EFA9A05" w14:textId="36AFF165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787BA6CD" w14:textId="3B82C595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1.5</w:t>
            </w:r>
          </w:p>
        </w:tc>
      </w:tr>
      <w:tr w:rsidRPr="00FE1A88" w:rsidR="00725B28" w:rsidTr="1CEC7945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5EE3C7DD" w14:textId="440085B7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Spektrogram „od zera”: czytanie zapisu i łączenie z odsłuchem. Podstawy orientacji na spektrogramie: czas–częstotliwość–intensywność. Rozpoznawanie wzorców samogłosek i spółgłosek; identyfikacja cech prozodycznych. Łączenie obrazu akustycznego z obserwacją słuchową i hipotezą funkcjonalną</w:t>
            </w:r>
          </w:p>
        </w:tc>
        <w:tc>
          <w:tcPr>
            <w:tcW w:w="1283" w:type="dxa"/>
            <w:tcMar/>
            <w:vAlign w:val="center"/>
          </w:tcPr>
          <w:p w:rsidR="702C3BB8" w:rsidP="1DE2AC8A" w:rsidRDefault="702C3BB8" w14:paraId="7C9D6B5E" w14:textId="5B95C4B7">
            <w:pPr>
              <w:spacing w:before="0" w:beforeAutospacing="off" w:after="0" w:afterAutospacing="off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1DE2AC8A" w:rsidR="1FD44192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1DE2AC8A" w:rsidRDefault="702C3BB8" w14:paraId="359A11F7" w14:textId="5D2A7938">
            <w:pPr>
              <w:spacing w:before="0" w:beforeAutospacing="off" w:after="0" w:afterAutospacing="off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1DE2AC8A" w:rsidR="16E06C13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6D00697" w14:textId="03486B12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70FF34DA" w14:textId="6860043D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</w:tr>
      <w:tr w:rsidRPr="00FE1A88" w:rsidR="00725B28" w:rsidTr="1CEC7945" w14:paraId="3E5D7E0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157CE6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53B10884" w14:textId="37133CCA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Odbiór mowy, zmienność rozwojowa. Tor słuchowy: przewodzenie w uchu zewnętrznym i środkowym; dopasowanie impedancji. Ślimak: transdukcja; tonotopia błony podstawnej.   OUN: wskazówki binauralne (czas, natężenie); rozpoznawanie wzorców; rola uwagi słuchowej. Zmienność rozwojowa: kamienie milowe; mutacja głosu; starzenie (presbylaryngis, presbyacusis).</w:t>
            </w:r>
          </w:p>
        </w:tc>
        <w:tc>
          <w:tcPr>
            <w:tcW w:w="1283" w:type="dxa"/>
            <w:tcMar/>
            <w:vAlign w:val="center"/>
          </w:tcPr>
          <w:p w:rsidR="702C3BB8" w:rsidP="1DE2AC8A" w:rsidRDefault="702C3BB8" w14:paraId="549B39A7" w14:textId="05007EAF">
            <w:pPr>
              <w:spacing w:before="0" w:beforeAutospacing="off" w:after="0" w:afterAutospacing="off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1DE2AC8A" w:rsidR="0B395A7C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1DE2AC8A" w:rsidRDefault="702C3BB8" w14:paraId="41852342" w14:textId="33FF08C3">
            <w:pPr>
              <w:spacing w:before="0" w:beforeAutospacing="off" w:after="0" w:afterAutospacing="off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"/>
              </w:rPr>
            </w:pPr>
            <w:r w:rsidRPr="1DE2AC8A" w:rsidR="159909BC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8F0BF8A" w14:textId="19D4AFC0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1.5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42BB066C" w14:textId="6ECC3C4D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</w:tr>
      <w:tr w:rsidRPr="00FE1A88" w:rsidR="00725B28" w:rsidTr="1CEC7945" w14:paraId="1F013449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725B28" w:rsidP="008B4CB3" w:rsidRDefault="00725B28" w14:paraId="23B8E5D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  <w:vAlign w:val="center"/>
          </w:tcPr>
          <w:p w:rsidR="702C3BB8" w:rsidP="702C3BB8" w:rsidRDefault="702C3BB8" w14:paraId="1FF45797" w14:noSpellErr="1" w14:textId="3ED8790F">
            <w:pPr>
              <w:spacing w:before="0" w:beforeAutospacing="off" w:after="0" w:afterAutospacing="off" w:line="276" w:lineRule="auto"/>
              <w:jc w:val="both"/>
            </w:pPr>
            <w:r w:rsidRPr="1CEC7945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Higiena i ergonomia głosu. Metody oceny. Higiena i ergonomia głosu: środowisko akustyczne; przerwy; nawadnianie; profilaktyka przeciążeń. Metody oceny: stroboskopia; proste pomiary oddechowo-akustyczne; otoskopia; tympanometria; audiometria tonalna i słowna; otoemisje; potencjały pnia mózgu.  Formułowanie zwięzłych opisów wyników i wniosków do praktyki logopedycznej</w:t>
            </w:r>
            <w:r w:rsidRPr="1CEC7945" w:rsidR="21C80B1B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.</w:t>
            </w:r>
          </w:p>
          <w:p w:rsidR="702C3BB8" w:rsidP="702C3BB8" w:rsidRDefault="702C3BB8" w14:paraId="39448979" w14:textId="61004862">
            <w:pPr>
              <w:spacing w:before="0" w:beforeAutospacing="off" w:after="0" w:afterAutospacing="off" w:line="276" w:lineRule="auto"/>
              <w:jc w:val="both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 xml:space="preserve"> 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15025CFB" w14:textId="182A2B7C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07334AE3" w14:textId="739794DF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A7F5D9C" w14:textId="20058177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="702C3BB8" w:rsidP="702C3BB8" w:rsidRDefault="702C3BB8" w14:paraId="36C9FF88" w14:textId="75ED75AD">
            <w:pPr>
              <w:spacing w:before="0" w:beforeAutospacing="off" w:after="0" w:afterAutospacing="off" w:line="276" w:lineRule="auto"/>
              <w:jc w:val="center"/>
            </w:pPr>
            <w:r w:rsidRPr="702C3BB8" w:rsidR="702C3BB8">
              <w:rPr>
                <w:rFonts w:ascii="Garamond" w:hAnsi="Garamond" w:eastAsia="Garamond" w:cs="Garamond"/>
                <w:sz w:val="18"/>
                <w:szCs w:val="18"/>
                <w:lang w:val="pl"/>
              </w:rPr>
              <w:t>0.5</w:t>
            </w:r>
          </w:p>
        </w:tc>
      </w:tr>
      <w:tr w:rsidRPr="00FE1A88" w:rsidR="00725B28" w:rsidTr="1CEC7945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00920AD1" w:rsidRDefault="00725B28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148B3BD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AB0DE7" w14:paraId="0F02DC9D" w14:textId="11EE776D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AB0DE7" w14:paraId="7BD626A8" w14:textId="3161238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AB0DE7" w14:paraId="61960100" w14:textId="6A075B6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00920AD1" w:rsidRDefault="00AB0DE7" w14:paraId="52B15483" w14:textId="3D67684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5F74726B">
        <w:rPr>
          <w:rFonts w:ascii="Garamond" w:hAnsi="Garamond" w:eastAsia="Times New Roman" w:cs="Segoe UI"/>
          <w:b w:val="1"/>
          <w:bCs w:val="1"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1DE2AC8A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2B7AFD" w:rsidR="000D5974" w:rsidTr="1DE2AC8A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0D5974" w:rsidP="000D5974" w:rsidRDefault="000D5974" w14:paraId="4FC65AF6" w14:textId="32242296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7308B21942424BD187C402C2A3B2FB55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D5974" w:rsidR="000D5974" w:rsidP="1DE2AC8A" w:rsidRDefault="000D5974" w14:paraId="079C6490" w14:textId="0468DB0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1DE2AC8A" w:rsidR="071D901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Wykład informacyjny z prezentacją multimedialną, analiza przypadków i przykładów, dyskusja, debata.</w:t>
            </w:r>
          </w:p>
        </w:tc>
      </w:tr>
      <w:tr w:rsidRPr="002B7AFD" w:rsidR="000D5974" w:rsidTr="1DE2AC8A" w14:paraId="63865D16" w14:textId="77777777">
        <w:trPr>
          <w:trHeight w:val="3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0D5974" w:rsidP="000D5974" w:rsidRDefault="000D5974" w14:paraId="1BCCA345" w14:textId="1E5B8A81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4525CDC753794B77A0171A07270141B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71D901A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0D5974" w:rsidR="000D5974" w:rsidP="1DE2AC8A" w:rsidRDefault="000D5974" w14:paraId="14A04511" w14:textId="652BEC8A">
            <w:pPr>
              <w:pStyle w:val="Normalny"/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1DE2AC8A" w:rsidR="071D901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Wykład konwersatoryjny, analiza przypadków i przykładów, dyskusja, debata, rozwiązywanie zadań, ćwiczenia</w:t>
            </w:r>
            <w:r w:rsidRPr="1DE2AC8A" w:rsidR="12D04CA0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zespołowe</w:t>
            </w:r>
            <w:r w:rsidRPr="1DE2AC8A" w:rsidR="071D901A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>, projektowanie.</w:t>
            </w:r>
            <w:r w:rsidRPr="1DE2AC8A" w:rsidR="104565F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  <w:lang w:val="pl-PL"/>
              </w:rPr>
              <w:t xml:space="preserve"> </w:t>
            </w:r>
            <w:r w:rsidRPr="1DE2AC8A" w:rsidR="104565F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5F74726B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B55DD7" w:rsidTr="1DE2AC8A" w14:paraId="4EC0A61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27F0488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A8C187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B55DD7" w:rsidP="00D6793E" w:rsidRDefault="00B55DD7" w14:paraId="481AFF4A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B55DD7" w:rsidTr="1DE2AC8A" w14:paraId="6A8A7522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875AA8" w:rsidR="00B55DD7" w:rsidP="00D6793E" w:rsidRDefault="00B55DD7" w14:paraId="4FB032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35827557" w14:textId="1746A1F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D14CDA2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B76B14" w:rsidR="00B55DD7" w:rsidP="00D6793E" w:rsidRDefault="008C1D0A" w14:paraId="68DC67E4" w14:textId="3E8CC00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 w:rsidR="00B55DD7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5D14CDA2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Pr="00875AA8" w:rsidR="00B55DD7" w:rsidTr="1DE2AC8A" w14:paraId="3743CE49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1FE9FE7C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6ED4AB38" w14:textId="62826ED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33027588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6FB96A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B55DD7" w:rsidTr="1DE2AC8A" w14:paraId="33F87610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3F4D91D3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1DE0142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38732252" w14:textId="7FF45DF3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623ECA93"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B55DD7" w:rsidTr="1DE2AC8A" w14:paraId="12B89E8D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3364DB2E" w14:textId="4F96ED64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1A5CC1DB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</w:t>
            </w:r>
            <w:r w:rsidRPr="702C3BB8" w:rsidR="5A5D98F3">
              <w:rPr>
                <w:rFonts w:ascii="Garamond" w:hAnsi="Garamond" w:cs="Times New Roman"/>
                <w:sz w:val="16"/>
                <w:szCs w:val="16"/>
                <w:lang w:val="pl-PL"/>
              </w:rPr>
              <w:t>pracy semestralnej w formie analizy przypadku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3F39476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13753681" w14:textId="57E230FD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7DA070A6"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Pr="00964650" w:rsidR="00B55DD7" w:rsidTr="1DE2AC8A" w14:paraId="21099E5A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875AA8" w:rsidR="00B55DD7" w:rsidP="00D6793E" w:rsidRDefault="00B55DD7" w14:paraId="4FA736BA" w14:textId="28B25313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5D0580F1" w:rsidR="2D3E18D5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Aktywność</w:t>
            </w:r>
            <w:r w:rsidRPr="5D0580F1" w:rsidR="00B55DD7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B55DD7" w14:paraId="5CEB5D8D" w14:textId="4CAE976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38EC1D94"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55DD7" w14:paraId="4C70DE36" w14:textId="70D7AF71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702C3BB8" w:rsidR="2B3E5C93">
              <w:rPr>
                <w:rFonts w:ascii="Garamond" w:hAnsi="Garamond" w:cs="Times New Roman"/>
                <w:sz w:val="16"/>
                <w:szCs w:val="16"/>
                <w:lang w:val="pl-PL"/>
              </w:rPr>
              <w:t>1</w:t>
            </w:r>
            <w:r w:rsidRPr="702C3BB8" w:rsidR="33D4F2B6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875AA8" w:rsidR="00B55DD7" w:rsidTr="1DE2AC8A" w14:paraId="52800C80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875AA8" w:rsidR="00B55DD7" w:rsidP="00D6793E" w:rsidRDefault="00B55DD7" w14:paraId="29BD23C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B55DD7" w:rsidP="00D6793E" w:rsidRDefault="00FA20DE" w14:paraId="5812D0D3" w14:textId="7A8458D2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559" w:type="dxa"/>
            <w:tcMar/>
            <w:vAlign w:val="center"/>
          </w:tcPr>
          <w:p w:rsidRPr="00875AA8" w:rsidR="00B55DD7" w:rsidP="00D6793E" w:rsidRDefault="00B45586" w14:paraId="64E223B0" w14:textId="07BDDD3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FA20DE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</w:t>
            </w:r>
            <w:r w:rsidR="00B55DD7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6256A846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1DE2AC8A" w14:paraId="19E3A87C" w14:textId="77777777">
        <w:trPr>
          <w:trHeight w:val="300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002A05E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1DE2AC8A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002A05E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002A05E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Studia niestacjonarne</w:t>
            </w:r>
          </w:p>
        </w:tc>
      </w:tr>
      <w:tr w:rsidRPr="002B7AFD" w:rsidR="000F3BB8" w:rsidTr="1DE2AC8A" w14:paraId="2A3B71B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1A379266" w14:textId="4B4207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6305F3CC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0F821F4" w14:textId="6B7EC2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3D65DBD6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2B7AFD" w:rsidR="000F3BB8" w:rsidTr="1DE2AC8A" w14:paraId="5C349F98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F6FAA9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39F0501A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533DC8D7" w14:textId="0A83A0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3834E771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44EC051" w14:textId="21E92E5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1B475AE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1DE2AC8A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C11FDA1" w14:textId="617E73D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38467DDF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093C0918" w14:textId="773995C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44B6180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1DE2AC8A" w14:paraId="0C9E1B67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76F1F0B1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3AABB348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6809AA18" w14:textId="5BA7A7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7B4F53FE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55CF4BDC" w14:textId="710CE8E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62E29EE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1DE2AC8A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5B696433" w14:textId="65D8963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6A5BAB01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0F3BB8" w14:paraId="7535E971" w14:textId="4600935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02C3BB8" w:rsidR="57A4D4FC"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0F3BB8" w:rsidTr="1DE2AC8A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002A05E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6256A84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FA20DE" w:rsidR="000F3BB8" w:rsidP="002A05EF" w:rsidRDefault="00AB0DE7" w14:paraId="5E0A1037" w14:textId="48ADEAA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tcMar/>
            <w:vAlign w:val="center"/>
          </w:tcPr>
          <w:p w:rsidRPr="00FA20DE" w:rsidR="000F3BB8" w:rsidP="002A05EF" w:rsidRDefault="00AB0DE7" w14:paraId="431CF1C9" w14:textId="4BC11C7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1DE2AC8A" w:rsidR="7DDCBB0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6256A846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42E34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D0580F1" w:rsidRDefault="000F3BB8" w14:paraId="39398CFA" w14:textId="6A1C8000">
            <w:pPr>
              <w:pStyle w:val="Normalny"/>
              <w:spacing w:after="0" w:line="276" w:lineRule="auto"/>
            </w:pPr>
            <w:r w:rsidRPr="5D0580F1" w:rsidR="7248EF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Trzaskalik J. (2015). Interdyscyplinarne aspekty wczesnej diagnozy logopedycznej. </w:t>
            </w:r>
            <w:r w:rsidRPr="5D0580F1" w:rsidR="5D72EDB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Akademia Ignatianum w Krakowie</w:t>
            </w:r>
          </w:p>
        </w:tc>
      </w:tr>
      <w:tr w:rsidRPr="00875AA8" w:rsidR="000F3BB8" w:rsidTr="00242E34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D0580F1" w:rsidRDefault="000F3BB8" w14:paraId="351722AF" w14:textId="1079B36C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D0580F1" w:rsidR="12EDF7F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Grabias S., Panasiuk J., Woźniak T. (2022). </w:t>
            </w:r>
            <w:r w:rsidRPr="5D0580F1" w:rsidR="12EDF7F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Logopedia:</w:t>
            </w:r>
            <w:r w:rsidRPr="5D0580F1" w:rsidR="12EDF7F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standardy postępowania logopedycznego: podręcznika akademicki. Wydawnictwo Uniwersytetu Marii Curie-Skłodowskiej.</w:t>
            </w:r>
            <w:r w:rsidRPr="5D0580F1" w:rsidR="7AD7BB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</w:p>
        </w:tc>
      </w:tr>
      <w:tr w:rsidRPr="00875AA8" w:rsidR="000F3BB8" w:rsidTr="00242E34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D0580F1" w:rsidRDefault="000F3BB8" w14:paraId="27CC9A1A" w14:textId="625FCC2F">
            <w:pPr>
              <w:pStyle w:val="Normalny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2E34" w:rsidR="0F331916">
              <w:rPr>
                <w:rFonts w:ascii="Garamond" w:hAnsi="Garamond" w:cs="Times New Roman"/>
                <w:sz w:val="18"/>
                <w:szCs w:val="18"/>
                <w:lang w:val="pl-PL"/>
              </w:rPr>
              <w:t>Freed</w:t>
            </w:r>
            <w:r w:rsidRPr="00242E34" w:rsidR="0F3319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D. (2018). Motor speech </w:t>
            </w:r>
            <w:r w:rsidRPr="00242E34" w:rsidR="0F331916">
              <w:rPr>
                <w:rFonts w:ascii="Garamond" w:hAnsi="Garamond" w:cs="Times New Roman"/>
                <w:sz w:val="18"/>
                <w:szCs w:val="18"/>
                <w:lang w:val="pl-PL"/>
              </w:rPr>
              <w:t>disorders</w:t>
            </w:r>
            <w:r w:rsidRPr="00242E34" w:rsidR="0F33191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 w:rsidRPr="00242E34" w:rsidR="0F33191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Plural</w:t>
            </w:r>
            <w:r w:rsidRPr="00242E34" w:rsidR="0F33191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Publishing Inc</w:t>
            </w:r>
            <w:r w:rsidRPr="00242E34" w:rsidR="694571F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1DE2AC8A" w:rsidR="6256A846">
        <w:rPr>
          <w:rFonts w:ascii="Garamond" w:hAnsi="Garamond" w:cs="Times New Roman"/>
          <w:b w:val="1"/>
          <w:bCs w:val="1"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00242E34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42E34" w:rsidRDefault="000F3BB8" w14:paraId="18688EF1" w14:textId="03BEDF49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00242E34" w:rsidR="3F895E0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Aleksandrowicz R., </w:t>
            </w:r>
            <w:r>
              <w:tab/>
            </w:r>
            <w:r w:rsidRPr="00242E34" w:rsidR="3F895E0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Ciszek B., Krasucki K. (2023). </w:t>
            </w:r>
            <w:r w:rsidRPr="00242E34" w:rsidR="7164833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Anatomia </w:t>
            </w:r>
            <w:r w:rsidRPr="00242E34" w:rsidR="7164833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człowieka:</w:t>
            </w:r>
            <w:r w:rsidRPr="00242E34" w:rsidR="7164833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repetytorium na podstawie Anatomii człowieka A. Bochenka, M. </w:t>
            </w:r>
            <w:r w:rsidRPr="00242E34" w:rsidR="7164833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Reichera</w:t>
            </w:r>
            <w:r w:rsidRPr="00242E34" w:rsidR="7164833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. </w:t>
            </w:r>
            <w:r w:rsidRPr="00242E34" w:rsidR="0E15D1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Wydawnictwo Lekarskie PZWL, Wydawnictwo Naukowe PWN</w:t>
            </w:r>
            <w:r w:rsidRPr="00242E34" w:rsidR="014B579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875AA8" w:rsidR="000F3BB8" w:rsidTr="00242E34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42E34" w:rsidRDefault="000F3BB8" w14:paraId="0D8E6817" w14:textId="1C78FE03">
            <w:pPr>
              <w:pStyle w:val="Normalny"/>
              <w:spacing w:after="0" w:line="276" w:lineRule="auto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Grant A., </w:t>
            </w:r>
            <w:r>
              <w:tab/>
            </w: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Waugh</w:t>
            </w: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A. (2022). Anatomia i fizjologia człowieka w warunkach zdrowia i choroby. </w:t>
            </w: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Elsevier</w:t>
            </w: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00242E34" w:rsidR="474C063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Urban&amp;Partner</w:t>
            </w:r>
            <w:r w:rsidRPr="00242E34" w:rsidR="3676846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.</w:t>
            </w:r>
          </w:p>
        </w:tc>
      </w:tr>
      <w:tr w:rsidRPr="00875AA8" w:rsidR="000F3BB8" w:rsidTr="00242E34" w14:paraId="3EDF5CF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5D0580F1" w:rsidRDefault="000F3BB8" w14:paraId="1DB4DF18" w14:textId="7E630D98">
            <w:pPr>
              <w:pStyle w:val="Normalny"/>
              <w:spacing w:after="0" w:line="276" w:lineRule="auto"/>
            </w:pPr>
            <w:r w:rsidRPr="5D0580F1" w:rsidR="4DD7FE0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Jastrzębowska G., Gałkowski T. (2003).  Logopedia - pytania i odpowiedzi. Podręcznik akademicki. Tom 2: zaburzenia komunikacji językowej u dzieci i osób dorosłych. Wydawnictwo Uniwersytetu Opolskiego.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D6C" w:rsidRDefault="00604D6C" w14:paraId="5D7AD675" w14:textId="77777777">
      <w:pPr>
        <w:spacing w:after="0" w:line="240" w:lineRule="auto"/>
      </w:pPr>
      <w:r>
        <w:separator/>
      </w:r>
    </w:p>
  </w:endnote>
  <w:endnote w:type="continuationSeparator" w:id="0">
    <w:p w:rsidR="00604D6C" w:rsidRDefault="00604D6C" w14:paraId="37FA17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3952" w:rsidR="00A3045F" w:rsidP="49B5B462" w:rsidRDefault="00BA42CB" w14:paraId="4DE23958" w14:textId="320D3518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49B5B462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49B5B462">
      <w:rPr>
        <w:rFonts w:ascii="Times New Roman" w:hAnsi="Times New Roman" w:cs="Times New Roman"/>
        <w:sz w:val="20"/>
        <w:szCs w:val="20"/>
        <w:lang w:val="pl-PL"/>
      </w:rPr>
      <w:t>abus</w:t>
    </w:r>
    <w:r w:rsidRPr="00756035" w:rsidR="49B5B462">
      <w:rPr>
        <w:rFonts w:ascii="Times New Roman" w:hAnsi="Times New Roman" w:cs="Times New Roman"/>
        <w:sz w:val="20"/>
        <w:szCs w:val="20"/>
        <w:lang w:val="pl-PL"/>
      </w:rPr>
      <w:t xml:space="preserve">: </w:t>
    </w:r>
    <w:r w:rsidRPr="00AB0DE7" w:rsidR="49B5B462">
      <w:rPr>
        <w:rFonts w:ascii="Times New Roman" w:hAnsi="Times New Roman" w:cs="Times New Roman"/>
        <w:sz w:val="20"/>
        <w:szCs w:val="20"/>
        <w:lang w:val="pl-PL"/>
      </w:rPr>
      <w:t xml:space="preserve">Anatomia i fizjologia narządów mowy, głosu i </w:t>
    </w:r>
    <w:r w:rsidRPr="00AB0DE7" w:rsidR="49B5B462">
      <w:rPr>
        <w:rFonts w:ascii="Times New Roman" w:hAnsi="Times New Roman" w:cs="Times New Roman"/>
        <w:sz w:val="20"/>
        <w:szCs w:val="20"/>
        <w:lang w:val="pl-PL"/>
      </w:rPr>
      <w:t>słuchu</w:t>
    </w:r>
    <w:r>
      <w:tab/>
    </w:r>
    <w:r>
      <w:tab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FD3952" w:rsidR="49B5B462">
      <w:rPr>
        <w:rFonts w:ascii="Times New Roman" w:hAnsi="Times New Roman" w:cs="Times New Roman"/>
        <w:sz w:val="20"/>
        <w:szCs w:val="20"/>
        <w:lang w:val="pl-PL"/>
      </w:rPr>
      <w:t xml:space="preserve">Strona</w:t>
    </w:r>
    <w:r w:rsidRPr="00FD3952" w:rsidR="49B5B46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DE2AC8A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FD3952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B45586">
      <w:rPr>
        <w:rFonts w:ascii="Times New Roman" w:hAnsi="Times New Roman" w:cs="Times New Roman"/>
        <w:sz w:val="20"/>
        <w:szCs w:val="20"/>
      </w:rPr>
      <w:fldChar w:fldCharType="separate"/>
    </w:r>
    <w:r w:rsidR="49B5B462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DE2AC8A" w:rsidR="00B45586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D6C" w:rsidRDefault="00604D6C" w14:paraId="5D9E8F05" w14:textId="77777777">
      <w:pPr>
        <w:spacing w:after="0" w:line="240" w:lineRule="auto"/>
      </w:pPr>
      <w:r>
        <w:separator/>
      </w:r>
    </w:p>
  </w:footnote>
  <w:footnote w:type="continuationSeparator" w:id="0">
    <w:p w:rsidR="00604D6C" w:rsidRDefault="00604D6C" w14:paraId="3764C9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931214">
    <w:abstractNumId w:val="8"/>
  </w:num>
  <w:num w:numId="2" w16cid:durableId="979269438">
    <w:abstractNumId w:val="1"/>
  </w:num>
  <w:num w:numId="3" w16cid:durableId="136996688">
    <w:abstractNumId w:val="2"/>
  </w:num>
  <w:num w:numId="4" w16cid:durableId="442772435">
    <w:abstractNumId w:val="5"/>
  </w:num>
  <w:num w:numId="5" w16cid:durableId="1452699329">
    <w:abstractNumId w:val="6"/>
  </w:num>
  <w:num w:numId="6" w16cid:durableId="994188394">
    <w:abstractNumId w:val="7"/>
  </w:num>
  <w:num w:numId="7" w16cid:durableId="1290480067">
    <w:abstractNumId w:val="4"/>
  </w:num>
  <w:num w:numId="8" w16cid:durableId="1113745317">
    <w:abstractNumId w:val="3"/>
  </w:num>
  <w:num w:numId="9" w16cid:durableId="1406294225">
    <w:abstractNumId w:val="0"/>
  </w:num>
  <w:num w:numId="10" w16cid:durableId="721098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5974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42E34"/>
    <w:rsid w:val="002574C9"/>
    <w:rsid w:val="00266590"/>
    <w:rsid w:val="002A519E"/>
    <w:rsid w:val="002B3591"/>
    <w:rsid w:val="002B7AFD"/>
    <w:rsid w:val="002D0322"/>
    <w:rsid w:val="002F3930"/>
    <w:rsid w:val="00303870"/>
    <w:rsid w:val="00304AC9"/>
    <w:rsid w:val="0031358A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A4F9E"/>
    <w:rsid w:val="005C394A"/>
    <w:rsid w:val="005E207D"/>
    <w:rsid w:val="005E6CCD"/>
    <w:rsid w:val="005E6CEB"/>
    <w:rsid w:val="005E7B41"/>
    <w:rsid w:val="005F1666"/>
    <w:rsid w:val="00604D6C"/>
    <w:rsid w:val="0062291A"/>
    <w:rsid w:val="00630D94"/>
    <w:rsid w:val="0063278D"/>
    <w:rsid w:val="006542BB"/>
    <w:rsid w:val="00654B24"/>
    <w:rsid w:val="00655679"/>
    <w:rsid w:val="006617E4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56035"/>
    <w:rsid w:val="00760A5C"/>
    <w:rsid w:val="00772324"/>
    <w:rsid w:val="00777F72"/>
    <w:rsid w:val="0078334C"/>
    <w:rsid w:val="00795F64"/>
    <w:rsid w:val="007B4B0E"/>
    <w:rsid w:val="00804069"/>
    <w:rsid w:val="0083476F"/>
    <w:rsid w:val="00836EFD"/>
    <w:rsid w:val="008623E1"/>
    <w:rsid w:val="008743E3"/>
    <w:rsid w:val="00882696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B0DE7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49D8"/>
    <w:rsid w:val="00C0574F"/>
    <w:rsid w:val="00C81742"/>
    <w:rsid w:val="00CA45BB"/>
    <w:rsid w:val="00CA6D3A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5DC8"/>
    <w:rsid w:val="00D361A1"/>
    <w:rsid w:val="00D42FD1"/>
    <w:rsid w:val="00D438E0"/>
    <w:rsid w:val="00D6125B"/>
    <w:rsid w:val="00D6793E"/>
    <w:rsid w:val="00D741E3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2692E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A0359"/>
    <w:rsid w:val="00FA20DE"/>
    <w:rsid w:val="00FC1D4C"/>
    <w:rsid w:val="00FC56E1"/>
    <w:rsid w:val="00FD3952"/>
    <w:rsid w:val="00FE1A88"/>
    <w:rsid w:val="00FE7996"/>
    <w:rsid w:val="014B5793"/>
    <w:rsid w:val="01F3BDA5"/>
    <w:rsid w:val="02107513"/>
    <w:rsid w:val="021211DC"/>
    <w:rsid w:val="028FE99E"/>
    <w:rsid w:val="04FFD134"/>
    <w:rsid w:val="05F8ABF1"/>
    <w:rsid w:val="06AA64C1"/>
    <w:rsid w:val="06C01AA1"/>
    <w:rsid w:val="071D901A"/>
    <w:rsid w:val="07F08097"/>
    <w:rsid w:val="083EA782"/>
    <w:rsid w:val="0B395A7C"/>
    <w:rsid w:val="0CC74A16"/>
    <w:rsid w:val="0D20E216"/>
    <w:rsid w:val="0D72FD1C"/>
    <w:rsid w:val="0E15D115"/>
    <w:rsid w:val="0EDF7F84"/>
    <w:rsid w:val="0F331916"/>
    <w:rsid w:val="0FE82C96"/>
    <w:rsid w:val="104565FE"/>
    <w:rsid w:val="128A2631"/>
    <w:rsid w:val="12D04CA0"/>
    <w:rsid w:val="12EDF7F3"/>
    <w:rsid w:val="14155450"/>
    <w:rsid w:val="148B3BD4"/>
    <w:rsid w:val="159909BC"/>
    <w:rsid w:val="159B7D84"/>
    <w:rsid w:val="165F7318"/>
    <w:rsid w:val="16E06C13"/>
    <w:rsid w:val="17D62F50"/>
    <w:rsid w:val="187EB9C9"/>
    <w:rsid w:val="1A19C462"/>
    <w:rsid w:val="1A5CC1DB"/>
    <w:rsid w:val="1ADB90E3"/>
    <w:rsid w:val="1B475AE2"/>
    <w:rsid w:val="1CEC7945"/>
    <w:rsid w:val="1DE2AC8A"/>
    <w:rsid w:val="1DF555E2"/>
    <w:rsid w:val="1E6054F0"/>
    <w:rsid w:val="1F50807B"/>
    <w:rsid w:val="1FD44192"/>
    <w:rsid w:val="203AF522"/>
    <w:rsid w:val="20994644"/>
    <w:rsid w:val="20BB32C6"/>
    <w:rsid w:val="216E0255"/>
    <w:rsid w:val="21C80B1B"/>
    <w:rsid w:val="227032E3"/>
    <w:rsid w:val="22E4157A"/>
    <w:rsid w:val="2480E1FA"/>
    <w:rsid w:val="25AC5C19"/>
    <w:rsid w:val="27482C7A"/>
    <w:rsid w:val="293A7263"/>
    <w:rsid w:val="29C4FD9D"/>
    <w:rsid w:val="2B3E5C93"/>
    <w:rsid w:val="2B46C57E"/>
    <w:rsid w:val="2C694B60"/>
    <w:rsid w:val="2CE295DF"/>
    <w:rsid w:val="2D3E18D5"/>
    <w:rsid w:val="2D4079D9"/>
    <w:rsid w:val="2EB516B5"/>
    <w:rsid w:val="305A6738"/>
    <w:rsid w:val="314AFC77"/>
    <w:rsid w:val="3181A98A"/>
    <w:rsid w:val="31F4D6D3"/>
    <w:rsid w:val="33027588"/>
    <w:rsid w:val="33D4F2B6"/>
    <w:rsid w:val="352DD85B"/>
    <w:rsid w:val="35DCD730"/>
    <w:rsid w:val="3676846E"/>
    <w:rsid w:val="36C8AC9D"/>
    <w:rsid w:val="3834E771"/>
    <w:rsid w:val="3842D09E"/>
    <w:rsid w:val="38467DDF"/>
    <w:rsid w:val="38EC1D94"/>
    <w:rsid w:val="396AA53F"/>
    <w:rsid w:val="3A44155E"/>
    <w:rsid w:val="3B7A7160"/>
    <w:rsid w:val="3D65DBD6"/>
    <w:rsid w:val="3EC0061D"/>
    <w:rsid w:val="3F895E07"/>
    <w:rsid w:val="3FB01A3D"/>
    <w:rsid w:val="3FB01A3D"/>
    <w:rsid w:val="40DABFD4"/>
    <w:rsid w:val="441B9738"/>
    <w:rsid w:val="442B9875"/>
    <w:rsid w:val="446504AF"/>
    <w:rsid w:val="44794638"/>
    <w:rsid w:val="44B6180C"/>
    <w:rsid w:val="44DC0A2A"/>
    <w:rsid w:val="453AFA33"/>
    <w:rsid w:val="4636C2F9"/>
    <w:rsid w:val="4747C5DD"/>
    <w:rsid w:val="4748851B"/>
    <w:rsid w:val="474C063D"/>
    <w:rsid w:val="484AE0BF"/>
    <w:rsid w:val="49B5B462"/>
    <w:rsid w:val="4BAEC97D"/>
    <w:rsid w:val="4C448001"/>
    <w:rsid w:val="4C8C7779"/>
    <w:rsid w:val="4CC5EBC1"/>
    <w:rsid w:val="4D1237C7"/>
    <w:rsid w:val="4D8939F5"/>
    <w:rsid w:val="4DD7FE09"/>
    <w:rsid w:val="4ED3587E"/>
    <w:rsid w:val="4FAA2762"/>
    <w:rsid w:val="4FD7F2C4"/>
    <w:rsid w:val="50C00917"/>
    <w:rsid w:val="50E6F4AE"/>
    <w:rsid w:val="5121A679"/>
    <w:rsid w:val="514E9389"/>
    <w:rsid w:val="518C86E0"/>
    <w:rsid w:val="52A3E6A8"/>
    <w:rsid w:val="52EEDD9E"/>
    <w:rsid w:val="5512E6E0"/>
    <w:rsid w:val="55365218"/>
    <w:rsid w:val="55365218"/>
    <w:rsid w:val="56D56A4A"/>
    <w:rsid w:val="57223B22"/>
    <w:rsid w:val="57A4D4FC"/>
    <w:rsid w:val="58AF4549"/>
    <w:rsid w:val="5A32677A"/>
    <w:rsid w:val="5A5D98F3"/>
    <w:rsid w:val="5AB7C9D9"/>
    <w:rsid w:val="5D0580F1"/>
    <w:rsid w:val="5D14CDA2"/>
    <w:rsid w:val="5D72EDB9"/>
    <w:rsid w:val="5ED998F1"/>
    <w:rsid w:val="5F74726B"/>
    <w:rsid w:val="607606CA"/>
    <w:rsid w:val="60A6D84A"/>
    <w:rsid w:val="6147EEF6"/>
    <w:rsid w:val="623ECA93"/>
    <w:rsid w:val="6256A846"/>
    <w:rsid w:val="62C1D21F"/>
    <w:rsid w:val="62E29EE5"/>
    <w:rsid w:val="6305F3CC"/>
    <w:rsid w:val="63B3698A"/>
    <w:rsid w:val="63D3866D"/>
    <w:rsid w:val="6495CA6E"/>
    <w:rsid w:val="6616A2D1"/>
    <w:rsid w:val="662D697E"/>
    <w:rsid w:val="663F65EF"/>
    <w:rsid w:val="664F3EE1"/>
    <w:rsid w:val="6654EF58"/>
    <w:rsid w:val="66E2D6DE"/>
    <w:rsid w:val="671BF8C3"/>
    <w:rsid w:val="678CAB8B"/>
    <w:rsid w:val="6824EBBE"/>
    <w:rsid w:val="693D8250"/>
    <w:rsid w:val="694571F0"/>
    <w:rsid w:val="6A5BAB01"/>
    <w:rsid w:val="6AB3BBA7"/>
    <w:rsid w:val="6CA8E4FC"/>
    <w:rsid w:val="6EF847B9"/>
    <w:rsid w:val="702C3BB8"/>
    <w:rsid w:val="70538D5F"/>
    <w:rsid w:val="710A071C"/>
    <w:rsid w:val="71648338"/>
    <w:rsid w:val="7248EF4F"/>
    <w:rsid w:val="743E4DEA"/>
    <w:rsid w:val="75A03BB9"/>
    <w:rsid w:val="77C63E0E"/>
    <w:rsid w:val="77DE8532"/>
    <w:rsid w:val="78DF5A96"/>
    <w:rsid w:val="7908D4F4"/>
    <w:rsid w:val="7961F5A0"/>
    <w:rsid w:val="7A8C1876"/>
    <w:rsid w:val="7AD7BB68"/>
    <w:rsid w:val="7AE66B89"/>
    <w:rsid w:val="7B4F53FE"/>
    <w:rsid w:val="7D638A5F"/>
    <w:rsid w:val="7DA070A6"/>
    <w:rsid w:val="7DDCBB06"/>
    <w:rsid w:val="7E61CA8E"/>
    <w:rsid w:val="7EA99E44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Hyperlink">
    <w:uiPriority w:val="99"/>
    <w:name w:val="Hyperlink"/>
    <w:basedOn w:val="Domylnaczcionkaakapitu"/>
    <w:unhideWhenUsed/>
    <w:rsid w:val="5D0580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2B3591" w:rsidRDefault="002B3591">
          <w:pPr>
            <w:pStyle w:val="428EB3C4E0174C59AD4FBFAB16054339"/>
          </w:pPr>
          <w:bookmarkStart w:name="NazwaPrzedmiotu" w:id="0"/>
          <w:bookmarkEnd w:id="0"/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2B3591" w:rsidRDefault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2B3591" w:rsidRDefault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2B3591" w:rsidRDefault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2B3591" w:rsidRDefault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2B3591" w:rsidRDefault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2B3591" w:rsidRDefault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2B3591" w:rsidRDefault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P="002B3591" w:rsidRDefault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P="002B3591" w:rsidRDefault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6C25D734C3D64305AAA53AF6CFE39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EAB32C-A8F3-4BF9-A7E5-B159BBC4E785}"/>
      </w:docPartPr>
      <w:docPartBody>
        <w:p w:rsidR="00C049D8" w:rsidP="00FA0359" w:rsidRDefault="00FA0359">
          <w:pPr>
            <w:pStyle w:val="6C25D734C3D64305AAA53AF6CFE3903E"/>
          </w:pPr>
          <w:r w:rsidRPr="001D3AA4">
            <w:rPr>
              <w:rStyle w:val="Tekstzastpczy"/>
            </w:rPr>
            <w:t>Wybierz element.</w:t>
          </w:r>
        </w:p>
        <w:bookmarkStart w:name="NazwaPrzedmiotu" w:id="1"/>
        <w:bookmarkStart w:name="NazwaPrzedmiotu" w:id="2"/>
        <w:bookmarkStart w:name="NazwaPrzedmiotu" w:id="3"/>
        <w:bookmarkEnd w:id="1"/>
        <w:bookmarkEnd w:id="2"/>
        <w:bookmarkEnd w:id="3"/>
      </w:docPartBody>
    </w:docPart>
    <w:docPart>
      <w:docPartPr>
        <w:name w:val="7308B21942424BD187C402C2A3B2FB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B1562A-20B3-4485-9F7E-A9AD293BC978}"/>
      </w:docPartPr>
      <w:docPartBody>
        <w:p w:rsidR="0075644B" w:rsidP="00C049D8" w:rsidRDefault="00C049D8">
          <w:pPr>
            <w:pStyle w:val="7308B21942424BD187C402C2A3B2FB55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4525CDC753794B77A0171A07270141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16BF1-6F88-4FE3-89B9-FC6A2F203BBD}"/>
      </w:docPartPr>
      <w:docPartBody>
        <w:p w:rsidR="0075644B" w:rsidP="00C049D8" w:rsidRDefault="00C049D8">
          <w:pPr>
            <w:pStyle w:val="4525CDC753794B77A0171A07270141BC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617E4"/>
    <w:rsid w:val="006E3C9D"/>
    <w:rsid w:val="006E3EA5"/>
    <w:rsid w:val="007438E5"/>
    <w:rsid w:val="0075644B"/>
    <w:rsid w:val="00781C10"/>
    <w:rsid w:val="00795F64"/>
    <w:rsid w:val="00813743"/>
    <w:rsid w:val="0095013C"/>
    <w:rsid w:val="0098428E"/>
    <w:rsid w:val="00A522C7"/>
    <w:rsid w:val="00A6250C"/>
    <w:rsid w:val="00B22041"/>
    <w:rsid w:val="00B40CF9"/>
    <w:rsid w:val="00B75FE2"/>
    <w:rsid w:val="00C049D8"/>
    <w:rsid w:val="00C056B0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A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A0359"/>
    <w:rPr>
      <w:color w:val="666666"/>
    </w:rPr>
  </w:style>
  <w:style w:type="paragraph" w:customStyle="1" w:styleId="7308B21942424BD187C402C2A3B2FB55">
    <w:name w:val="7308B21942424BD187C402C2A3B2FB55"/>
    <w:rsid w:val="00C049D8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525CDC753794B77A0171A07270141BC">
    <w:name w:val="4525CDC753794B77A0171A07270141BC"/>
    <w:rsid w:val="00C049D8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C25D734C3D64305AAA53AF6CFE3903E">
    <w:name w:val="6C25D734C3D64305AAA53AF6CFE3903E"/>
    <w:rsid w:val="00FA0359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9F980-84A0-43EA-9F16-A10E74742131}"/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20</cp:revision>
  <cp:lastPrinted>2021-06-05T12:43:00Z</cp:lastPrinted>
  <dcterms:created xsi:type="dcterms:W3CDTF">2025-07-22T08:33:00Z</dcterms:created>
  <dcterms:modified xsi:type="dcterms:W3CDTF">2026-01-14T13:51:15Z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