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264A15" w14:paraId="29C12D87" w14:textId="2100FE0B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Zaburzenia mowy i komunikacji w demencji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264A15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Speech and Communication Disorders in Dementia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75F01932" w:rsidTr="75F01932" w14:paraId="30AE2BA0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5F01932" w:rsidP="75F01932" w:rsidRDefault="75F01932" w14:paraId="7B7DDCC8" w14:textId="262A3B44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5F01932" w:rsidR="75F0193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5F01932" w:rsidP="75F01932" w:rsidRDefault="75F01932" w14:paraId="19DE3372" w14:textId="673E4F9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5F01932" w:rsidR="75F0193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75F01932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5733E6" w14:paraId="7E6E1277" w14:textId="27E8865E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75F01932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C216A2" w14:paraId="3BB00A7B" w14:textId="6D29EA1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5733E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5733E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875AA8" w:rsidR="00B01CE3" w:rsidTr="75F01932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33915" w14:paraId="3F0DC82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Pr="00875AA8" w:rsidR="00B01CE3" w:rsidTr="75F01932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75F01932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5733E6" w14:paraId="460C7C09" w14:textId="040D36A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75F01932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75F01932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5733E6" w14:paraId="3217CEC4" w14:textId="5D667CE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B14BA3" w14:paraId="1A3DBB74" w14:textId="781D2EE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9225D4" w14:paraId="4D4CFF98" w14:textId="0B425D4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9225D4" w14:paraId="1DF65BBD" w14:textId="1084F4F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264A15" w14:paraId="0F2A1C42" w14:textId="38DE4AD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5733E6" w14:paraId="5D8AC519" w14:textId="69C4AF5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733E6" w14:paraId="6D940E84" w14:textId="4AF149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5733E6" w14:paraId="63FDD756" w14:textId="503B84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64A15" w14:paraId="495E378D" w14:textId="31BC11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64A15" w14:paraId="3E85EC19" w14:textId="256EF7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64A15" w14:paraId="51D69F21" w14:textId="084ABE1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64A15" w14:paraId="31A3A528" w14:textId="06AB320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06A87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264A15" w14:paraId="2A4E7340" w14:textId="2C4788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problematyką demencji (otępienia), ze szczególnym uwzględnieniem zaburzeń mowy, języka i komunikacji w obrazie klinicznym choroby alzheimerowskiej oraz podstawowych zasad postępowania logopedycznego wobec tej grupy pacjentów.</w:t>
            </w:r>
          </w:p>
        </w:tc>
      </w:tr>
      <w:tr w:rsidRPr="00406A87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264A15" w14:paraId="4001648B" w14:textId="161A7D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diagnozowania możliwości komunikacyjnych osób z demencją, planowania i realizowania terapii logopedycznej (pośredniej i bezpośredniej) oraz kształtowanie postawy empatycznej i etycznej w pracy z pacjentem i jego opiekunami.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001257D8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06A87" w:rsidR="009C486D" w:rsidTr="001257D8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36A8AED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:rsidRPr="00F831B6" w:rsidR="00CB43A3" w:rsidP="004A3C93" w:rsidRDefault="00CB43A3" w14:paraId="0047884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Pr="00F831B6" w:rsidR="004A3C93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06A87" w:rsidR="007F7233" w:rsidTr="001257D8" w14:paraId="43BF7894" w14:textId="77777777">
        <w:tc>
          <w:tcPr>
            <w:tcW w:w="562" w:type="dxa"/>
            <w:vAlign w:val="center"/>
          </w:tcPr>
          <w:p w:rsidRPr="00875AA8" w:rsidR="007F7233" w:rsidP="007F7233" w:rsidRDefault="007F7233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075A83" w:rsidR="007F7233" w:rsidP="007F7233" w:rsidRDefault="007F7233" w14:paraId="22847E5D" w14:textId="0D7650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</w:t>
            </w:r>
            <w:r w:rsidRPr="00075A83">
              <w:rPr>
                <w:rFonts w:ascii="Garamond" w:hAnsi="Garamond" w:cs="Times New Roman"/>
                <w:sz w:val="18"/>
                <w:szCs w:val="18"/>
                <w:lang w:val="pl-PL"/>
              </w:rPr>
              <w:t>spółczesne teorie zaburzeń mowy i języka – modele neurolingwistyczne, poznawcze i psycholingwistyczne, etiologia oraz mechanizmy neurobiologiczne zaburzeń komunikacji w ujęciu logopedycznym.</w:t>
            </w:r>
          </w:p>
        </w:tc>
        <w:tc>
          <w:tcPr>
            <w:tcW w:w="1559" w:type="dxa"/>
            <w:vAlign w:val="center"/>
          </w:tcPr>
          <w:p w:rsidRPr="00875AA8" w:rsidR="007F7233" w:rsidP="007F7233" w:rsidRDefault="007F7233" w14:paraId="4FF0721A" w14:textId="57B5B2B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LGP_WG08 </w:t>
            </w:r>
          </w:p>
        </w:tc>
        <w:tc>
          <w:tcPr>
            <w:tcW w:w="2551" w:type="dxa"/>
            <w:vAlign w:val="center"/>
          </w:tcPr>
          <w:p w:rsidRPr="00875AA8" w:rsidR="007F7233" w:rsidP="007F7233" w:rsidRDefault="007F7233" w14:paraId="565631C0" w14:textId="58DC82D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406A87" w:rsidR="007F7233" w:rsidTr="001257D8" w14:paraId="0EDE31D5" w14:textId="77777777">
        <w:tc>
          <w:tcPr>
            <w:tcW w:w="562" w:type="dxa"/>
            <w:vAlign w:val="center"/>
          </w:tcPr>
          <w:p w:rsidRPr="00875AA8" w:rsidR="007F7233" w:rsidP="007F7233" w:rsidRDefault="007F7233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075A83" w:rsidR="007F7233" w:rsidP="007F7233" w:rsidRDefault="007F7233" w14:paraId="3DF778F0" w14:textId="05FCC7A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75A83">
              <w:rPr>
                <w:rFonts w:ascii="Garamond" w:hAnsi="Garamond" w:cs="Times New Roman"/>
                <w:sz w:val="18"/>
                <w:szCs w:val="18"/>
                <w:lang w:val="pl-PL"/>
              </w:rPr>
              <w:t>procesy poznawcze i emocjonalne warunkujące komunikację językową – uwaga, pamięć robocza, funkcje wykonawcze, teoria umysłu, regulacja emocji i motywacja w rozwoju i przebiegu zaburzeń komunikacji.</w:t>
            </w:r>
          </w:p>
        </w:tc>
        <w:tc>
          <w:tcPr>
            <w:tcW w:w="1559" w:type="dxa"/>
            <w:vAlign w:val="center"/>
          </w:tcPr>
          <w:p w:rsidRPr="00875AA8" w:rsidR="007F7233" w:rsidP="007F7233" w:rsidRDefault="007F7233" w14:paraId="59E772FE" w14:textId="0C8F06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>LGP_WG10</w:t>
            </w:r>
          </w:p>
        </w:tc>
        <w:tc>
          <w:tcPr>
            <w:tcW w:w="2551" w:type="dxa"/>
            <w:vAlign w:val="center"/>
          </w:tcPr>
          <w:p w:rsidRPr="00875AA8" w:rsidR="007F7233" w:rsidP="007F7233" w:rsidRDefault="007F7233" w14:paraId="1F335204" w14:textId="470AC0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406A87" w:rsidR="007F7233" w:rsidTr="00264A15" w14:paraId="44F9CAC1" w14:textId="77777777">
        <w:trPr>
          <w:trHeight w:val="50"/>
        </w:trPr>
        <w:tc>
          <w:tcPr>
            <w:tcW w:w="562" w:type="dxa"/>
            <w:vAlign w:val="center"/>
          </w:tcPr>
          <w:p w:rsidRPr="00875AA8" w:rsidR="007F7233" w:rsidP="007F7233" w:rsidRDefault="007F7233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075A83" w:rsidR="007F7233" w:rsidP="007F7233" w:rsidRDefault="007F7233" w14:paraId="5F72C27D" w14:textId="3FBF4C2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 w:rsidRPr="00075A83">
              <w:rPr>
                <w:rFonts w:ascii="Garamond" w:hAnsi="Garamond" w:cs="Times New Roman"/>
                <w:sz w:val="18"/>
                <w:szCs w:val="18"/>
                <w:lang w:val="pl-PL"/>
              </w:rPr>
              <w:t>orm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075A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patologi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Pr="00075A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komunikacji, mowie i języku – modele continuum normy–patologii, podejście funkcjonalne i ICF oraz podstawy współczesnej diagnostyki i terapii logopedycznej.</w:t>
            </w:r>
          </w:p>
        </w:tc>
        <w:tc>
          <w:tcPr>
            <w:tcW w:w="1559" w:type="dxa"/>
            <w:vAlign w:val="center"/>
          </w:tcPr>
          <w:p w:rsidRPr="00875AA8" w:rsidR="007F7233" w:rsidP="007F7233" w:rsidRDefault="007F7233" w14:paraId="509C170B" w14:textId="7711F7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2551" w:type="dxa"/>
            <w:vAlign w:val="center"/>
          </w:tcPr>
          <w:p w:rsidRPr="00875AA8" w:rsidR="007F7233" w:rsidP="007F7233" w:rsidRDefault="007F7233" w14:paraId="0F2CCE7A" w14:textId="77E42F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</w:tbl>
    <w:p w:rsidRPr="009225D4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001257D8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06A87" w:rsidR="009C486D" w:rsidTr="001257D8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7DD62D6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:rsidRPr="00F831B6" w:rsidR="00CB43A3" w:rsidP="00CB43A3" w:rsidRDefault="00CB43A3" w14:paraId="1C988A6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06A87" w:rsidR="00075A83" w:rsidTr="001257D8" w14:paraId="2EA7A5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075A83" w:rsidP="00075A83" w:rsidRDefault="00075A83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322D0D" w:rsidR="00075A83" w:rsidP="00075A83" w:rsidRDefault="00322D0D" w14:paraId="437A127B" w14:textId="5C3EB6C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2D0D">
              <w:rPr>
                <w:rFonts w:ascii="Garamond" w:hAnsi="Garamond" w:cs="Times New Roman"/>
                <w:sz w:val="18"/>
                <w:szCs w:val="18"/>
                <w:lang w:val="pl-PL"/>
              </w:rPr>
              <w:t>przeprowadzić funkcjonalną, wieloaspektową diagnozę logopedyczną, obejmującą ocenę mowy, języka oraz wybranych aspektów poznawczych i emocjonalnych, z wykorzystaniem standaryzowanych i niestandaryzowanych narzędzi diagnostycznych, dostosowanych do wieku, jednostki klinicznej i kontekstu kulturowo-językowego pacjenta.</w:t>
            </w:r>
          </w:p>
        </w:tc>
        <w:tc>
          <w:tcPr>
            <w:tcW w:w="1560" w:type="dxa"/>
            <w:vAlign w:val="center"/>
          </w:tcPr>
          <w:p w:rsidRPr="00875AA8" w:rsidR="00075A83" w:rsidP="00075A83" w:rsidRDefault="00075A83" w14:paraId="3D23CD6E" w14:textId="709514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LGP_UW01  </w:t>
            </w:r>
          </w:p>
        </w:tc>
        <w:tc>
          <w:tcPr>
            <w:tcW w:w="2552" w:type="dxa"/>
            <w:vAlign w:val="center"/>
          </w:tcPr>
          <w:p w:rsidRPr="00875AA8" w:rsidR="00075A83" w:rsidP="00075A83" w:rsidRDefault="00075A83" w14:paraId="218CB926" w14:textId="32FE00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406A87" w:rsidR="00075A83" w:rsidTr="001257D8" w14:paraId="22F447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322D0D" w:rsidR="00075A83" w:rsidP="00075A83" w:rsidRDefault="00075A83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322D0D" w:rsidR="00075A83" w:rsidP="00075A83" w:rsidRDefault="00322D0D" w14:paraId="554DE301" w14:textId="1335864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2D0D">
              <w:rPr>
                <w:rFonts w:ascii="Garamond" w:hAnsi="Garamond" w:cs="Times New Roman"/>
                <w:sz w:val="18"/>
                <w:szCs w:val="18"/>
                <w:lang w:val="pl-PL"/>
              </w:rPr>
              <w:t>prowadzić i dokumentować ewaluację terapii logopedycznej, z wykorzystaniem wskaźników efektu, narzędzi monitorowania postępów oraz metod opartych na dowodach, a także formułować wnioski i rekomendacje w ujęciu funkcjonalnym.</w:t>
            </w:r>
          </w:p>
        </w:tc>
        <w:tc>
          <w:tcPr>
            <w:tcW w:w="1560" w:type="dxa"/>
            <w:vAlign w:val="center"/>
          </w:tcPr>
          <w:p w:rsidRPr="00875AA8" w:rsidR="00075A83" w:rsidP="00075A83" w:rsidRDefault="00075A83" w14:paraId="280A7D80" w14:textId="03EC2B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068">
              <w:rPr>
                <w:rFonts w:ascii="Garamond" w:hAnsi="Garamond" w:cs="Times New Roman"/>
                <w:sz w:val="18"/>
                <w:szCs w:val="18"/>
                <w:lang w:val="pl-PL"/>
              </w:rPr>
              <w:t>LGP_UW09</w:t>
            </w:r>
          </w:p>
        </w:tc>
        <w:tc>
          <w:tcPr>
            <w:tcW w:w="2552" w:type="dxa"/>
            <w:vAlign w:val="center"/>
          </w:tcPr>
          <w:p w:rsidRPr="00875AA8" w:rsidR="00075A83" w:rsidP="00075A83" w:rsidRDefault="00075A83" w14:paraId="357D4CB3" w14:textId="4F3314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406A87" w:rsidR="00075A83" w:rsidTr="001257D8" w14:paraId="7CB45287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075A83" w:rsidP="00075A83" w:rsidRDefault="00075A83" w14:paraId="7C82CDD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322D0D" w:rsidR="00075A83" w:rsidP="00075A83" w:rsidRDefault="00322D0D" w14:paraId="411F5BAA" w14:textId="69AE14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2D0D">
              <w:rPr>
                <w:rFonts w:ascii="Garamond" w:hAnsi="Garamond" w:cs="Times New Roman"/>
                <w:sz w:val="18"/>
                <w:szCs w:val="18"/>
                <w:lang w:val="pl-PL"/>
              </w:rPr>
              <w:t>rozpoznawać sytuacje kliniczne wykraczające poza kompetencje logopedy, kierować pacjenta do odpowiednich specjalistów oraz współpracować z zespołem interdyscyplinarnym w celu zapewnienia spójności i ciągłości postępowania terapeutycznego.</w:t>
            </w:r>
          </w:p>
        </w:tc>
        <w:tc>
          <w:tcPr>
            <w:tcW w:w="1560" w:type="dxa"/>
            <w:vAlign w:val="center"/>
          </w:tcPr>
          <w:p w:rsidRPr="00875AA8" w:rsidR="00075A83" w:rsidP="00075A83" w:rsidRDefault="00075A83" w14:paraId="6B0C6930" w14:textId="2CFF5B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LGP_UW10  </w:t>
            </w:r>
          </w:p>
        </w:tc>
        <w:tc>
          <w:tcPr>
            <w:tcW w:w="2552" w:type="dxa"/>
            <w:vAlign w:val="center"/>
          </w:tcPr>
          <w:p w:rsidRPr="00875AA8" w:rsidR="00075A83" w:rsidP="00075A83" w:rsidRDefault="00075A83" w14:paraId="562C4DDF" w14:textId="4500BA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</w:tbl>
    <w:p w:rsidRPr="009225D4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005D60DA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06A87" w:rsidR="009C486D" w:rsidTr="00C45C30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B7FF5F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:rsidRPr="00F831B6" w:rsidR="00CB43A3" w:rsidP="00B948AA" w:rsidRDefault="00CB43A3" w14:paraId="070C95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06A87" w:rsidR="009C486D" w:rsidTr="00C45C30" w14:paraId="68FD3F6E" w14:textId="77777777">
        <w:tc>
          <w:tcPr>
            <w:tcW w:w="562" w:type="dxa"/>
            <w:vAlign w:val="center"/>
          </w:tcPr>
          <w:p w:rsidRPr="00875AA8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322D0D" w:rsidR="009C486D" w:rsidP="00190358" w:rsidRDefault="00322D0D" w14:paraId="2C23BCA2" w14:textId="1341125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2D0D">
              <w:rPr>
                <w:rFonts w:ascii="Garamond" w:hAnsi="Garamond" w:cs="Times New Roman"/>
                <w:sz w:val="18"/>
                <w:szCs w:val="18"/>
                <w:lang w:val="pl-PL"/>
              </w:rPr>
              <w:t>doceniania znaczenia logopedii dla rozwoju komunikacji człowieka na wszystkich etapach życia oraz do ciągłego aktualizowania wiedzy logopedycznej w oparciu o rzetelne, zweryfikowane źródła naukowe.</w:t>
            </w:r>
          </w:p>
        </w:tc>
        <w:tc>
          <w:tcPr>
            <w:tcW w:w="1559" w:type="dxa"/>
            <w:vAlign w:val="center"/>
          </w:tcPr>
          <w:p w:rsidRPr="00875AA8" w:rsidR="009C486D" w:rsidP="00203068" w:rsidRDefault="00264A15" w14:paraId="72085FF3" w14:textId="3A98252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64A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LGP_KK03 </w:t>
            </w:r>
          </w:p>
        </w:tc>
        <w:tc>
          <w:tcPr>
            <w:tcW w:w="2558" w:type="dxa"/>
            <w:vAlign w:val="center"/>
          </w:tcPr>
          <w:p w:rsidRPr="00875AA8" w:rsidR="009C486D" w:rsidP="009C681F" w:rsidRDefault="00C21876" w14:paraId="4655E9F5" w14:textId="66719A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187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406A87" w:rsidR="009C486D" w:rsidTr="00C45C30" w14:paraId="2742E200" w14:textId="77777777">
        <w:tc>
          <w:tcPr>
            <w:tcW w:w="562" w:type="dxa"/>
            <w:vAlign w:val="center"/>
          </w:tcPr>
          <w:p w:rsidRPr="00875AA8" w:rsidR="009C486D" w:rsidP="005D60DA" w:rsidRDefault="009C486D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322D0D" w:rsidR="009C486D" w:rsidP="00B14BA3" w:rsidRDefault="00322D0D" w14:paraId="3CC13D79" w14:textId="2B382B1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2D0D">
              <w:rPr>
                <w:rFonts w:ascii="Garamond" w:hAnsi="Garamond" w:cs="Times New Roman"/>
                <w:sz w:val="18"/>
                <w:szCs w:val="18"/>
                <w:lang w:val="pl-PL"/>
              </w:rPr>
              <w:t>okazywania wrażliwości i empatii wobec osób z zaburzeniami komunikacji, z poszanowaniem ich godności, autonomii i indywidualnych potrzeb, przy jednoczesnym zachowaniu obiektywizmu i zasad etyki zawodowej.</w:t>
            </w:r>
          </w:p>
        </w:tc>
        <w:tc>
          <w:tcPr>
            <w:tcW w:w="1559" w:type="dxa"/>
            <w:vAlign w:val="center"/>
          </w:tcPr>
          <w:p w:rsidRPr="00875AA8" w:rsidR="009C486D" w:rsidP="00BD7E4F" w:rsidRDefault="00203068" w14:paraId="5C6022C6" w14:textId="04E87C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068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2558" w:type="dxa"/>
            <w:vAlign w:val="center"/>
          </w:tcPr>
          <w:p w:rsidRPr="00875AA8" w:rsidR="009C486D" w:rsidP="009C681F" w:rsidRDefault="00C21876" w14:paraId="6F22DB45" w14:textId="6A4A89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187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406A87" w:rsidR="00203068" w:rsidTr="00C45C30" w14:paraId="2203F870" w14:textId="77777777">
        <w:tc>
          <w:tcPr>
            <w:tcW w:w="562" w:type="dxa"/>
            <w:vAlign w:val="center"/>
          </w:tcPr>
          <w:p w:rsidRPr="00875AA8" w:rsidR="00203068" w:rsidP="005D60DA" w:rsidRDefault="00203068" w14:paraId="1CE52A2A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322D0D" w:rsidR="00203068" w:rsidP="00B14BA3" w:rsidRDefault="00322D0D" w14:paraId="1E8F4FF2" w14:textId="665DAC6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22D0D">
              <w:rPr>
                <w:rFonts w:ascii="Garamond" w:hAnsi="Garamond" w:cs="Times New Roman"/>
                <w:sz w:val="18"/>
                <w:szCs w:val="18"/>
                <w:lang w:val="pl-PL"/>
              </w:rPr>
              <w:t>ponoszenia odpowiedzialności za skutki swoich decyzji i działań logopedycznych, refleksji nad własną praktyką zawodową, korygowania błędów oraz doskonalenia kompetencji w trosce o bezpieczeństwo i jakość wsparcia terapeutycznego.</w:t>
            </w:r>
          </w:p>
        </w:tc>
        <w:tc>
          <w:tcPr>
            <w:tcW w:w="1559" w:type="dxa"/>
            <w:vAlign w:val="center"/>
          </w:tcPr>
          <w:p w:rsidRPr="00875AA8" w:rsidR="00203068" w:rsidP="00BD7E4F" w:rsidRDefault="00203068" w14:paraId="7AFAC3B6" w14:textId="0D3A56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3068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2558" w:type="dxa"/>
            <w:vAlign w:val="center"/>
          </w:tcPr>
          <w:p w:rsidRPr="00C21876" w:rsidR="00203068" w:rsidP="009C681F" w:rsidRDefault="00203068" w14:paraId="0133244B" w14:textId="64AFDA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21876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431876D9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431876D9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40110EEC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406A8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431876D9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431876D9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0E55A3" w:rsidP="00203068" w:rsidRDefault="009C681F" w14:paraId="2BE4ADD1" w14:textId="52F93D7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Profil trudności językowych i poznawczych w demencji – zaburzenia nazywania, rozumienia złożonych poleceń, spójności wypowiedzi, pragmatyki i dyskursu; perseweracje, redukcja naprzemienności i trudności w wnioskowaniu z kontekstu.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9225D4" w:rsidRDefault="00A4055C" w14:paraId="7EECE42B" w14:textId="781555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9225D4" w:rsidRDefault="00A4055C" w14:paraId="60FA3D21" w14:textId="4FCB18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31876D9" w:rsidR="6425426C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A4055C" w:rsidTr="431876D9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4055C" w:rsidP="00A4055C" w:rsidRDefault="00A4055C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A4055C" w:rsidP="00203068" w:rsidRDefault="009C681F" w14:paraId="2238833E" w14:textId="729444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Różnicowanie obrazów klinicznych zaburzeń komunikacji – choroba Alzheimera a afazje postępujące w ujęciu funkcjonalnym; znaczenie profilu językowego dla planowania wsparcia komunikacyjnego.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6D0FAE2C" w14:textId="299A37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3B20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0D99C739" w14:textId="2BF9A7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2B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431876D9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4055C" w:rsidP="00A4055C" w:rsidRDefault="00A4055C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A4055C" w:rsidP="00203068" w:rsidRDefault="009C681F" w14:paraId="1EA77377" w14:textId="48E2B3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Słyszenie i uwaga słuchowa jako filtr komunikacji – wpływ hałasu tła, tempa mowy i wielozadaniowości na rozumienie komunikatów u osób z demencją.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9C681F" w14:paraId="190556FA" w14:textId="287EF9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9C681F" w14:paraId="7CE677E1" w14:textId="17E2C4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A4055C" w:rsidTr="431876D9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4055C" w:rsidP="00A4055C" w:rsidRDefault="00A4055C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A4055C" w:rsidP="00203068" w:rsidRDefault="009C681F" w14:paraId="7CD38EFF" w14:textId="59E5F6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Środowisko sprzyjające komunikacji – organizacja przestrzeni (oświetlenie, kontrast, minimalizacja dystraktorów), stałe miejsca i rutyny wspierające orientację i bezpieczeństwo.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9C681F" w14:paraId="5B21D947" w14:textId="100B14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9C681F" w14:paraId="3C995062" w14:textId="229E7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A4055C" w:rsidTr="431876D9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4055C" w:rsidP="00A4055C" w:rsidRDefault="00A4055C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A4055C" w:rsidP="00203068" w:rsidRDefault="009C681F" w14:paraId="1E4F02AF" w14:textId="3E4A6F0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Język prosty i strategie konwersacyjne – krótkie zdania, jedno zadanie naraz, słowa kluczowe, parafraza, potwierdzanie sensu wypowiedzi; partner rozmowy jako facylitator komunikacji.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9C681F" w14:paraId="5826B5E3" w14:textId="71B4C5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601CA14A" w14:textId="0BD3E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2B8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431876D9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4055C" w:rsidP="00A4055C" w:rsidRDefault="00A4055C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A4055C" w:rsidP="00203068" w:rsidRDefault="009C681F" w14:paraId="68BE608D" w14:textId="071A783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Wsparcie pamięci i orientacji w codziennej komunikacji – zeszyt komunikacyjny, tablice dnia, etykiety w otoczeniu, listy imion i relacji, materiały wizualne i opisane fotografie.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6A8AE28D" w14:textId="1BB6DB6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29CF4" w:rsidR="4D3BF32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6D22398D" w14:textId="439A1B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B8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431876D9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4055C" w:rsidP="00A4055C" w:rsidRDefault="00A4055C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A4055C" w:rsidP="00203068" w:rsidRDefault="009C681F" w14:paraId="7AAB9787" w14:textId="3FBBDA1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Techniki treningowe o niskim obciążeniu poznawczym – powtórzenia rozłożone w czasie, uczenie bezbłędne, skrypty sytuacyjne (np. rozmowa telefoniczna, zakupy, wizyta u lekarza), rozmowa oparta na reminiscencji i materiałach biograficznych („life story”).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23E10F5B" w14:textId="152904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29CF4" w:rsidR="14FA7766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0C16CC89" w14:textId="0A106A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6B8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9C681F" w:rsidR="009C681F" w:rsidTr="431876D9" w14:paraId="70A3E28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681F" w:rsidP="00A4055C" w:rsidRDefault="009C681F" w14:paraId="2C8175AF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9C681F" w:rsidP="00203068" w:rsidRDefault="009C681F" w14:paraId="7D8C88F2" w14:textId="341BA05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Zachowania jako forma komunikacji potrzeb – identyfikacja wyzwalaczy, strategie deeskalacji i przekierowania aktywności; poprawa zrozumiałości wypowiedzi poprzez tempo, pauzowanie, akcentowanie słów kluczowych, gest i kontakt wzrokowy.</w:t>
            </w:r>
          </w:p>
        </w:tc>
        <w:tc>
          <w:tcPr>
            <w:tcW w:w="1701" w:type="dxa"/>
            <w:tcMar/>
            <w:vAlign w:val="center"/>
          </w:tcPr>
          <w:p w:rsidR="009C681F" w:rsidP="009225D4" w:rsidRDefault="009C681F" w14:paraId="136EABF8" w14:textId="2A3C448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466B87" w:rsidR="009C681F" w:rsidP="009225D4" w:rsidRDefault="009C681F" w14:paraId="17C80CE8" w14:textId="33B142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A4055C" w:rsidTr="431876D9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A4055C" w:rsidP="00A4055C" w:rsidRDefault="00A4055C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A4055C" w:rsidP="00203068" w:rsidRDefault="009C681F" w14:paraId="6BE9BB62" w14:textId="4F757E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Różnorodność językowa, kulturowa i etyka komunikacji – wybór języka komfortu, mieszanie kodów jako zasób, wspierana autonomia, godność osoby z demencją, zgoda poinformowana adekwatna do stadium choroby.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00C69D4F" w14:textId="5AADC7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29CF4" w:rsidR="65F55AEA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A4055C" w:rsidP="009225D4" w:rsidRDefault="00A4055C" w14:paraId="5E8D992B" w14:textId="181B84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31876D9" w:rsidR="5C305F7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06A87" w:rsidR="009C681F" w:rsidTr="431876D9" w14:paraId="085C5411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681F" w:rsidP="00A4055C" w:rsidRDefault="009C681F" w14:paraId="1A365E2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9C681F" w:rsidR="009C681F" w:rsidP="00203068" w:rsidRDefault="009C681F" w14:paraId="32C71F1D" w14:textId="78AB9F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681F">
              <w:rPr>
                <w:rFonts w:ascii="Garamond" w:hAnsi="Garamond" w:cs="Times New Roman"/>
                <w:sz w:val="18"/>
                <w:szCs w:val="18"/>
                <w:lang w:val="pl-PL"/>
              </w:rPr>
              <w:t>Współpraca z rodziną i opiekunami oraz dokumentowanie wsparcia – mikroinstrukcje do codziennych sytuacji, higiena komunikacji w opiece, profilaktyka przeciążenia opiekuna; „czerwone flagi” i ścieżki kierowania; dokumentowanie w języku funkcjonalnym.</w:t>
            </w:r>
          </w:p>
        </w:tc>
        <w:tc>
          <w:tcPr>
            <w:tcW w:w="1701" w:type="dxa"/>
            <w:tcMar/>
            <w:vAlign w:val="center"/>
          </w:tcPr>
          <w:p w:rsidR="009C681F" w:rsidP="009225D4" w:rsidRDefault="009C681F" w14:paraId="1C017BAC" w14:textId="77D4C0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29CF4" w:rsidR="152B711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466B87" w:rsidR="009C681F" w:rsidP="009225D4" w:rsidRDefault="009C681F" w14:paraId="7FF22AAE" w14:textId="553910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29CF4" w:rsidR="0505AC1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431876D9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4055C" w14:paraId="179A2DF6" w14:textId="777E404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4055C" w14:paraId="10E1F011" w14:textId="2D0EA6D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431876D9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06A87" w:rsidR="00AC71F1" w:rsidTr="431876D9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4424" w:rsidR="00AC71F1" w:rsidP="002A05EF" w:rsidRDefault="00894975" w14:paraId="4DB714BE" w14:textId="37925B8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14BA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C2E20" w:rsidR="00AC71F1" w:rsidP="002A05EF" w:rsidRDefault="00C21876" w14:paraId="03A3967E" w14:textId="76C25F5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431876D9" w:rsidR="00C21876">
              <w:rPr>
                <w:rFonts w:ascii="Garamond" w:hAnsi="Garamond"/>
                <w:sz w:val="18"/>
                <w:szCs w:val="18"/>
                <w:lang w:val="pl-PL"/>
              </w:rPr>
              <w:t xml:space="preserve">Ćwiczenia praktyczne, symulacje i odgrywanie ról, </w:t>
            </w:r>
            <w:r w:rsidRPr="431876D9" w:rsidR="005A19FF">
              <w:rPr>
                <w:rFonts w:ascii="Garamond" w:hAnsi="Garamond"/>
                <w:sz w:val="18"/>
                <w:szCs w:val="18"/>
                <w:lang w:val="pl-PL"/>
              </w:rPr>
              <w:t>a</w:t>
            </w:r>
            <w:r w:rsidRPr="431876D9" w:rsidR="00C21876">
              <w:rPr>
                <w:rFonts w:ascii="Garamond" w:hAnsi="Garamond"/>
                <w:sz w:val="18"/>
                <w:szCs w:val="18"/>
                <w:lang w:val="pl-PL"/>
              </w:rPr>
              <w:t>naliza przypadków, praca w grupach, dyskusja</w:t>
            </w:r>
            <w:r w:rsidRPr="431876D9" w:rsidR="6C0B70A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C681F" w:rsidTr="002D1DAF" w14:paraId="46F9D71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C681F" w:rsidP="002D1DAF" w:rsidRDefault="009C681F" w14:paraId="7177E75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C681F" w:rsidP="002D1DAF" w:rsidRDefault="009C681F" w14:paraId="1FF2F6FC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C681F" w:rsidTr="002D1DAF" w14:paraId="1FC5DA79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C681F" w:rsidP="002D1DAF" w:rsidRDefault="009C681F" w14:paraId="79BE953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C681F" w:rsidP="002D1DAF" w:rsidRDefault="009C681F" w14:paraId="1F6FD18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40FE0C18889B434CB60D7FCAF8818B4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9C681F" w:rsidTr="002D1DAF" w14:paraId="04FD0A5D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C681F" w:rsidP="002D1DAF" w:rsidRDefault="009C681F" w14:paraId="045B10CE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9C681F" w:rsidP="002D1DAF" w:rsidRDefault="009C681F" w14:paraId="34A04ED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9C681F" w:rsidTr="002D1DAF" w14:paraId="55780612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C681F" w:rsidP="002D1DAF" w:rsidRDefault="009C681F" w14:paraId="7A83421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75AA8" w:rsidR="009C681F" w:rsidP="002D1DAF" w:rsidRDefault="009C681F" w14:paraId="188C327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964650" w:rsidR="009C681F" w:rsidTr="002D1DAF" w14:paraId="65834E09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C681F" w:rsidP="002D1DAF" w:rsidRDefault="009C681F" w14:paraId="788DC564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9C681F" w:rsidP="002D1DAF" w:rsidRDefault="009C681F" w14:paraId="71DA79E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75AA8" w:rsidR="009C681F" w:rsidTr="002D1DAF" w14:paraId="60A9E225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C681F" w:rsidP="002D1DAF" w:rsidRDefault="009C681F" w14:paraId="7955953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C681F" w:rsidP="002D1DAF" w:rsidRDefault="009C681F" w14:paraId="634B73E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75A83" w:rsidTr="002D1DAF" w14:paraId="2E790FEA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75A83" w:rsidP="002D1DAF" w:rsidRDefault="00075A83" w14:paraId="4CDE3A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75A83" w:rsidP="002D1DAF" w:rsidRDefault="00075A83" w14:paraId="0476F2C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75A83" w:rsidP="002D1DAF" w:rsidRDefault="00075A83" w14:paraId="624C91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75A83" w:rsidTr="002D1DAF" w14:paraId="3147F209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75A83" w:rsidP="002D1DAF" w:rsidRDefault="00075A83" w14:paraId="75644C3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75A83" w:rsidP="002D1DAF" w:rsidRDefault="00075A83" w14:paraId="23CD9DE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75A83" w:rsidP="002D1DAF" w:rsidRDefault="00075A83" w14:paraId="222F3D0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75A83" w:rsidP="002D1DAF" w:rsidRDefault="00075A83" w14:paraId="0944D9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075A83" w:rsidTr="002D1DAF" w14:paraId="3436F8D6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75A83" w:rsidP="002D1DAF" w:rsidRDefault="00075A83" w14:paraId="301D181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75A83" w:rsidP="002D1DAF" w:rsidRDefault="00075A83" w14:paraId="6731F58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02A45D30" w14:textId="40E701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7697AF8F" w14:textId="2E98E5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2E758B" w:rsidR="00075A83" w:rsidTr="002D1DAF" w14:paraId="5DCEC52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75A83" w:rsidP="002D1DAF" w:rsidRDefault="00075A83" w14:paraId="3BF50C4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75A83" w:rsidP="002D1DAF" w:rsidRDefault="00075A83" w14:paraId="42E4ADCD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59EC592E" w14:textId="2F6DB7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5B260D08" w14:textId="02D0621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9F29F1" w:rsidR="00075A83" w:rsidTr="002D1DAF" w14:paraId="32A13394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75A83" w:rsidP="002D1DAF" w:rsidRDefault="00075A83" w14:paraId="606E031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75A83" w:rsidP="002D1DAF" w:rsidRDefault="00075A83" w14:paraId="777983B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0BBECEB6" w14:textId="6A214D9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320CDDAE" w14:textId="0A683D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F29F1" w:rsidR="00075A83" w:rsidTr="002D1DAF" w14:paraId="54F6CB00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75A83" w:rsidP="002D1DAF" w:rsidRDefault="00075A83" w14:paraId="6D4486A9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75A83" w:rsidP="002D1DAF" w:rsidRDefault="00075A83" w14:paraId="78EEEFB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016E1B2B" w14:textId="1C9282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7814E735" w14:textId="71DBC7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075A83" w:rsidTr="002D1DAF" w14:paraId="7400A2F1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75A83" w:rsidP="002D1DAF" w:rsidRDefault="00075A83" w14:paraId="1AD68FD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75A83" w:rsidP="002D1DAF" w:rsidRDefault="00075A83" w14:paraId="3459514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6190A5CD" w14:textId="419F9A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05359779" w14:textId="67F4DC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9F29F1" w:rsidR="00075A83" w:rsidTr="002D1DAF" w14:paraId="7CB46516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75A83" w:rsidP="002D1DAF" w:rsidRDefault="00075A83" w14:paraId="5777FB4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75A83" w:rsidP="002D1DAF" w:rsidRDefault="00075A83" w14:paraId="30EF92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71E1C102" w14:textId="31EE9E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7CB667AD" w14:textId="33EA18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075A83" w:rsidTr="002D1DAF" w14:paraId="263FA656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75A83" w:rsidP="002D1DAF" w:rsidRDefault="00075A83" w14:paraId="2F96E5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75A83" w:rsidP="002D1DAF" w:rsidRDefault="00075A83" w14:paraId="4B012100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055BE8E7" w14:textId="5B54181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075A83" w:rsidP="002D1DAF" w:rsidRDefault="00075A83" w14:paraId="3202889C" w14:textId="41F8F83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06A87" w:rsidR="009C486D" w:rsidTr="00377230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83117C" w:rsidRDefault="0083117C" w14:paraId="6A4178E4" w14:textId="4598BF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17C">
              <w:rPr>
                <w:rFonts w:ascii="Garamond" w:hAnsi="Garamond" w:cs="Times New Roman"/>
                <w:sz w:val="18"/>
                <w:szCs w:val="18"/>
                <w:lang w:val="pl-PL"/>
              </w:rPr>
              <w:t>Gerontologopedia, 2018, pod red. W. Tłokińskiego, S. Milewskiego, K. Kaczorowskiej-Bray, Gdańsk: Harmonia Universalis.</w:t>
            </w:r>
          </w:p>
        </w:tc>
      </w:tr>
      <w:tr w:rsidRPr="00406A87" w:rsidR="009C486D" w:rsidTr="00377230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83117C" w14:paraId="4F39552D" w14:textId="58D2A8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17C">
              <w:rPr>
                <w:rFonts w:ascii="Garamond" w:hAnsi="Garamond" w:cs="Times New Roman"/>
                <w:sz w:val="18"/>
                <w:szCs w:val="18"/>
                <w:lang w:val="pl-PL"/>
              </w:rPr>
              <w:t>Domagała A., Sitek E. 2018, Choroba Alzheimera. Zaburzenia komunikacji językowej, Gdańsk: Harmonia Universalis.</w:t>
            </w:r>
          </w:p>
        </w:tc>
      </w:tr>
      <w:tr w:rsidRPr="00406A87" w:rsidR="005259D9" w:rsidTr="00377230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3117C" w:rsidR="005259D9" w:rsidP="0083117C" w:rsidRDefault="0083117C" w14:paraId="6D3A788A" w14:textId="0182CD3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17C">
              <w:rPr>
                <w:rFonts w:ascii="Garamond" w:hAnsi="Garamond" w:cs="Times New Roman"/>
                <w:sz w:val="18"/>
                <w:szCs w:val="18"/>
                <w:lang w:val="pl-PL"/>
              </w:rPr>
              <w:t>Domagała A., Gustaw K., 2006, Program FOCUSED jako metoda usprawniania komunikacji w otępieniu alzheimerowskim, „Logopedia”, t. 35, s. 91-98.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06A87" w:rsidR="009C486D" w:rsidTr="00E35956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E35956" w:rsidRDefault="0083117C" w14:paraId="6C781DF8" w14:textId="193F560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17C">
              <w:rPr>
                <w:rFonts w:ascii="Garamond" w:hAnsi="Garamond" w:cs="Times New Roman"/>
                <w:sz w:val="18"/>
                <w:szCs w:val="18"/>
                <w:lang w:val="pl-PL"/>
              </w:rPr>
              <w:t>Gawron N., 2008, Metody oddziaływań niefarmakologicznych ukierunkowanych na poprawę funkcjonowania poznawczego, stanu psychicznego i zapobiegających występowaniu zaburzeń zachowania u pacjentów z chorobą Alzheimera, W: Wybrane zagadnienia rehabilitacji neuropsychologicznej, E. Łojek, A. Bolewska (red.), Warszawa, s. 123-155.</w:t>
            </w:r>
          </w:p>
        </w:tc>
      </w:tr>
      <w:tr w:rsidRPr="00406A87" w:rsidR="0083117C" w:rsidTr="00E35956" w14:paraId="4D827A7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3117C" w:rsidP="00BD5AE5" w:rsidRDefault="0083117C" w14:paraId="6E3BCBBF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83117C" w:rsidP="00E35956" w:rsidRDefault="0083117C" w14:paraId="07045D78" w14:textId="5B54444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3117C">
              <w:rPr>
                <w:rFonts w:ascii="Garamond" w:hAnsi="Garamond" w:cs="Times New Roman"/>
                <w:sz w:val="18"/>
                <w:szCs w:val="18"/>
                <w:lang w:val="pl-PL"/>
              </w:rPr>
              <w:t>Marczewska H., 1994, Zaburzenia językowe w demencji typu Alzheimera, W: Nie tylko afazja… O zaburzeniach językowych w demencji Alzheimera, demencji wielozawałowej i przy uszkodzeniach prawej półkuli mózgu, Warszawa, s. 7-60.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6A2" w:rsidRDefault="00C216A2" w14:paraId="5D62218C" w14:textId="77777777">
      <w:pPr>
        <w:spacing w:after="0" w:line="240" w:lineRule="auto"/>
      </w:pPr>
      <w:r>
        <w:separator/>
      </w:r>
    </w:p>
  </w:endnote>
  <w:endnote w:type="continuationSeparator" w:id="0">
    <w:p w:rsidR="00C216A2" w:rsidRDefault="00C216A2" w14:paraId="62C7E9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71A4A7DF" w:rsidRDefault="00BA42CB" w14:paraId="57A5CE39" w14:textId="20368D51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71A4A7DF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71A4A7D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71A4A7DF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71A4A7D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83117C" w:rsidR="71A4A7DF">
      <w:rPr>
        <w:rFonts w:ascii="Times New Roman" w:hAnsi="Times New Roman" w:cs="Times New Roman"/>
        <w:sz w:val="20"/>
        <w:szCs w:val="20"/>
        <w:lang w:val="pl-PL"/>
      </w:rPr>
      <w:t xml:space="preserve">Zaburzenia mowy i komunikacji w demencji </w:t>
    </w:r>
    <w:r>
      <w:tab/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71A4A7D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71A4A7D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1A4A7DF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71A4A7D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1A4A7DF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6A2" w:rsidRDefault="00C216A2" w14:paraId="67E0348D" w14:textId="77777777">
      <w:pPr>
        <w:spacing w:after="0" w:line="240" w:lineRule="auto"/>
      </w:pPr>
      <w:r>
        <w:separator/>
      </w:r>
    </w:p>
  </w:footnote>
  <w:footnote w:type="continuationSeparator" w:id="0">
    <w:p w:rsidR="00C216A2" w:rsidRDefault="00C216A2" w14:paraId="681B20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81242">
    <w:abstractNumId w:val="10"/>
  </w:num>
  <w:num w:numId="2" w16cid:durableId="1764062028">
    <w:abstractNumId w:val="2"/>
  </w:num>
  <w:num w:numId="3" w16cid:durableId="1498614345">
    <w:abstractNumId w:val="3"/>
  </w:num>
  <w:num w:numId="4" w16cid:durableId="521625013">
    <w:abstractNumId w:val="7"/>
  </w:num>
  <w:num w:numId="5" w16cid:durableId="396099921">
    <w:abstractNumId w:val="5"/>
  </w:num>
  <w:num w:numId="6" w16cid:durableId="322709336">
    <w:abstractNumId w:val="9"/>
  </w:num>
  <w:num w:numId="7" w16cid:durableId="1560752539">
    <w:abstractNumId w:val="1"/>
  </w:num>
  <w:num w:numId="8" w16cid:durableId="2076080323">
    <w:abstractNumId w:val="11"/>
  </w:num>
  <w:num w:numId="9" w16cid:durableId="942759208">
    <w:abstractNumId w:val="8"/>
  </w:num>
  <w:num w:numId="10" w16cid:durableId="1561137955">
    <w:abstractNumId w:val="6"/>
  </w:num>
  <w:num w:numId="11" w16cid:durableId="970286162">
    <w:abstractNumId w:val="4"/>
  </w:num>
  <w:num w:numId="12" w16cid:durableId="20657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2BA3"/>
    <w:rsid w:val="00017E80"/>
    <w:rsid w:val="0002124B"/>
    <w:rsid w:val="000252CC"/>
    <w:rsid w:val="0003687D"/>
    <w:rsid w:val="00055B79"/>
    <w:rsid w:val="00063555"/>
    <w:rsid w:val="00075A83"/>
    <w:rsid w:val="00077D39"/>
    <w:rsid w:val="0008780B"/>
    <w:rsid w:val="000A146D"/>
    <w:rsid w:val="000C0F2C"/>
    <w:rsid w:val="000C4372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75538"/>
    <w:rsid w:val="00190358"/>
    <w:rsid w:val="00192A86"/>
    <w:rsid w:val="001A3CF7"/>
    <w:rsid w:val="001B5C7D"/>
    <w:rsid w:val="001B6D39"/>
    <w:rsid w:val="001C008D"/>
    <w:rsid w:val="001D556D"/>
    <w:rsid w:val="001E6614"/>
    <w:rsid w:val="001F5B36"/>
    <w:rsid w:val="00201E1B"/>
    <w:rsid w:val="00203068"/>
    <w:rsid w:val="00203756"/>
    <w:rsid w:val="002574C9"/>
    <w:rsid w:val="00264A15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22D0D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D79C4"/>
    <w:rsid w:val="003E7C6B"/>
    <w:rsid w:val="00406A87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33E6"/>
    <w:rsid w:val="00574BE2"/>
    <w:rsid w:val="00585220"/>
    <w:rsid w:val="005871F9"/>
    <w:rsid w:val="005A19FF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3D91"/>
    <w:rsid w:val="00675719"/>
    <w:rsid w:val="00686E02"/>
    <w:rsid w:val="00687B4C"/>
    <w:rsid w:val="00691EA8"/>
    <w:rsid w:val="006A1E4A"/>
    <w:rsid w:val="006C5DB2"/>
    <w:rsid w:val="006D04ED"/>
    <w:rsid w:val="006E7175"/>
    <w:rsid w:val="006F04E7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68FB"/>
    <w:rsid w:val="007F7233"/>
    <w:rsid w:val="00804069"/>
    <w:rsid w:val="00807872"/>
    <w:rsid w:val="0081752A"/>
    <w:rsid w:val="0083117C"/>
    <w:rsid w:val="0083476F"/>
    <w:rsid w:val="00836EFD"/>
    <w:rsid w:val="008623E1"/>
    <w:rsid w:val="008721A1"/>
    <w:rsid w:val="00875AA8"/>
    <w:rsid w:val="00894975"/>
    <w:rsid w:val="008A204D"/>
    <w:rsid w:val="008D47F3"/>
    <w:rsid w:val="008D7FD5"/>
    <w:rsid w:val="008F218F"/>
    <w:rsid w:val="008F5E98"/>
    <w:rsid w:val="0090638D"/>
    <w:rsid w:val="009225D4"/>
    <w:rsid w:val="00927425"/>
    <w:rsid w:val="00941CE9"/>
    <w:rsid w:val="009430CD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C681F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4055C"/>
    <w:rsid w:val="00A65D58"/>
    <w:rsid w:val="00A67256"/>
    <w:rsid w:val="00A95A52"/>
    <w:rsid w:val="00AC71F1"/>
    <w:rsid w:val="00B01CE3"/>
    <w:rsid w:val="00B14BA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16A2"/>
    <w:rsid w:val="00C21876"/>
    <w:rsid w:val="00C23076"/>
    <w:rsid w:val="00C31E0C"/>
    <w:rsid w:val="00C37F77"/>
    <w:rsid w:val="00C45C30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35956"/>
    <w:rsid w:val="00E6400D"/>
    <w:rsid w:val="00EA5BB0"/>
    <w:rsid w:val="00EB22AA"/>
    <w:rsid w:val="00EB7BB9"/>
    <w:rsid w:val="00EC0B45"/>
    <w:rsid w:val="00EE205A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0E6"/>
    <w:rsid w:val="00FD5EA7"/>
    <w:rsid w:val="00FE1A88"/>
    <w:rsid w:val="00FE7996"/>
    <w:rsid w:val="00FF68B6"/>
    <w:rsid w:val="01F3BDA5"/>
    <w:rsid w:val="02107513"/>
    <w:rsid w:val="028FE99E"/>
    <w:rsid w:val="04FFD134"/>
    <w:rsid w:val="0505AC18"/>
    <w:rsid w:val="05F8ABF1"/>
    <w:rsid w:val="07F08097"/>
    <w:rsid w:val="0CC74A16"/>
    <w:rsid w:val="0D20E216"/>
    <w:rsid w:val="0EDF7F84"/>
    <w:rsid w:val="0FE82C96"/>
    <w:rsid w:val="128A2631"/>
    <w:rsid w:val="14FA7766"/>
    <w:rsid w:val="152B7119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5E29CF4"/>
    <w:rsid w:val="36C8AC9D"/>
    <w:rsid w:val="3842D09E"/>
    <w:rsid w:val="3A44155E"/>
    <w:rsid w:val="3B7A7160"/>
    <w:rsid w:val="431876D9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3BF328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C305F7B"/>
    <w:rsid w:val="5ED998F1"/>
    <w:rsid w:val="607606CA"/>
    <w:rsid w:val="6147EEF6"/>
    <w:rsid w:val="62C1D21F"/>
    <w:rsid w:val="63B3698A"/>
    <w:rsid w:val="63D3866D"/>
    <w:rsid w:val="6425426C"/>
    <w:rsid w:val="65F55AEA"/>
    <w:rsid w:val="663F65EF"/>
    <w:rsid w:val="664F3EE1"/>
    <w:rsid w:val="671BF8C3"/>
    <w:rsid w:val="678CAB8B"/>
    <w:rsid w:val="6824EBBE"/>
    <w:rsid w:val="693D8250"/>
    <w:rsid w:val="6AB3BBA7"/>
    <w:rsid w:val="6C0B70A9"/>
    <w:rsid w:val="6CA8E4FC"/>
    <w:rsid w:val="6EF847B9"/>
    <w:rsid w:val="710A071C"/>
    <w:rsid w:val="71A4A7DF"/>
    <w:rsid w:val="743E4DEA"/>
    <w:rsid w:val="75F01932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E205A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6F04E7" w:rsidRDefault="006F04E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6F04E7" w:rsidRDefault="006F04E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6F04E7" w:rsidRDefault="006F04E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6F04E7" w:rsidRDefault="006F04E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40FE0C18889B434CB60D7FCAF8818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9BE64-AE06-4C75-92C4-72CB2B43B6EC}"/>
      </w:docPartPr>
      <w:docPartBody>
        <w:p w:rsidR="00572BD8" w:rsidP="00FF68B6" w:rsidRDefault="00FF68B6">
          <w:pPr>
            <w:pStyle w:val="40FE0C18889B434CB60D7FCAF8818B4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02BA3"/>
    <w:rsid w:val="00077D39"/>
    <w:rsid w:val="00132F73"/>
    <w:rsid w:val="00175538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72BD8"/>
    <w:rsid w:val="005871F9"/>
    <w:rsid w:val="005D316F"/>
    <w:rsid w:val="00621EF8"/>
    <w:rsid w:val="0065328E"/>
    <w:rsid w:val="006F04E7"/>
    <w:rsid w:val="00742D80"/>
    <w:rsid w:val="00795F64"/>
    <w:rsid w:val="007F3586"/>
    <w:rsid w:val="009031FE"/>
    <w:rsid w:val="00955B3B"/>
    <w:rsid w:val="00AA3CA7"/>
    <w:rsid w:val="00AF6680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D7D21"/>
    <w:rsid w:val="00DE60DB"/>
    <w:rsid w:val="00DF3F6C"/>
    <w:rsid w:val="00E40910"/>
    <w:rsid w:val="00F74E6F"/>
    <w:rsid w:val="00F87A23"/>
    <w:rsid w:val="00FB00E6"/>
    <w:rsid w:val="00FF2BC1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6F04E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0FE0C18889B434CB60D7FCAF8818B47">
    <w:name w:val="40FE0C18889B434CB60D7FCAF8818B47"/>
    <w:rsid w:val="00FF68B6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FDA8A-DF47-4405-B342-BE52CAD9C3BA}"/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Domagała AEH</cp:lastModifiedBy>
  <cp:revision>17</cp:revision>
  <cp:lastPrinted>2021-06-05T12:43:00Z</cp:lastPrinted>
  <dcterms:created xsi:type="dcterms:W3CDTF">2025-07-22T08:32:00Z</dcterms:created>
  <dcterms:modified xsi:type="dcterms:W3CDTF">2026-01-14T14:18:37Z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