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4009355B" w:rsidRDefault="00752CBD" w14:paraId="29C12D87" w14:textId="1A74BC18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348CB231" w:rsidR="00752CBD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T</w:t>
      </w:r>
      <w:r w:rsidRPr="348CB231" w:rsidR="00B5474D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echnologie wspierające funkcjonowanie słuchowe</w:t>
      </w:r>
      <w:r>
        <w:br/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Technologies </w:t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that</w:t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348CB231" w:rsidR="4B94B43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upport</w:t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348CB231" w:rsidR="53EF543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A</w:t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uditory</w:t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348CB231" w:rsidR="61916CD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Fu</w:t>
      </w:r>
      <w:r w:rsidRPr="348CB231" w:rsidR="00F56D8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nctioning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5C56071" w:rsidTr="55C56071" w14:paraId="3EC2030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5C56071" w:rsidP="55C56071" w:rsidRDefault="55C56071" w14:paraId="0872E590" w14:textId="679C08D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C56071" w:rsidR="55C5607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5C56071" w:rsidP="55C56071" w:rsidRDefault="55C56071" w14:paraId="1D0C6BAF" w14:textId="6A856D5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C56071" w:rsidR="55C5607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55C56071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C9643E" w14:paraId="7E6E1277" w14:textId="462F5AD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55C56071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976387" w14:paraId="3BB00A7B" w14:textId="2DE7FF6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C9643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C9643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55C56071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C9643E" w14:paraId="3F0DC82B" w14:textId="3D3B338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55C56071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55C56071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C9643E" w14:paraId="460C7C09" w14:textId="22D1682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55C56071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55C56071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C9643E" w14:paraId="3217CEC4" w14:textId="241F0B4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C9643E" w14:paraId="1A3DBB74" w14:textId="17314FE8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C9643E" w14:paraId="4D4CFF98" w14:textId="71C001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C9643E" w14:paraId="1DF65BBD" w14:textId="53782E0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D23535" w14:paraId="0F2A1C42" w14:textId="0AF863C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007D19" w14:paraId="5D8AC519" w14:textId="7565F79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9643E" w14:paraId="6D940E84" w14:textId="170977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9643E" w14:paraId="63FDD756" w14:textId="24E5FB4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D23535" w14:paraId="495E378D" w14:textId="4BAE4C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D23535" w14:paraId="3E85EC19" w14:textId="4C3E31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D23535" w14:paraId="51D69F21" w14:textId="60D343C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D23535" w14:paraId="31A3A528" w14:textId="23DCA6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4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F34D80" w:rsidTr="00665788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34D80" w:rsidP="00F34D80" w:rsidRDefault="00F34D80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34D80" w:rsidR="00F34D80" w:rsidP="00F34D80" w:rsidRDefault="00F34D80" w14:paraId="2A4E7340" w14:textId="3C4D717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4D80">
              <w:rPr>
                <w:rFonts w:ascii="Garamond" w:hAnsi="Garamond"/>
                <w:sz w:val="18"/>
              </w:rPr>
              <w:t>Poznanie i rozumienie zasad działania oraz możliwości technologii wspierających funkcjonowanie słuchowe, w tym aparatów słuchowych, implantów i systemów wspomagania słyszenia, w odniesieniu do różnych typów ubytku słuchu i potrzeb komunikacyjnych.</w:t>
            </w:r>
          </w:p>
        </w:tc>
      </w:tr>
      <w:tr w:rsidRPr="00875AA8" w:rsidR="00F34D80" w:rsidTr="00665788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34D80" w:rsidP="00F34D80" w:rsidRDefault="00F34D80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34D80" w:rsidR="00F34D80" w:rsidP="00F34D80" w:rsidRDefault="00F34D80" w14:paraId="4001648B" w14:textId="020682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4D80">
              <w:rPr>
                <w:rFonts w:ascii="Garamond" w:hAnsi="Garamond"/>
                <w:sz w:val="18"/>
              </w:rPr>
              <w:t>Nabycie kompetencji w zakresie doboru i oceny technologii słuchowych oraz planowania środowiska akustycznego, z uwzględnieniem wywiadu funkcjonalnego, celów pacjenta i warunków edukacyjnych oraz zawodowych.</w:t>
            </w:r>
          </w:p>
        </w:tc>
      </w:tr>
      <w:tr w:rsidRPr="00875AA8" w:rsidR="00F34D80" w:rsidTr="00665788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34D80" w:rsidP="00F34D80" w:rsidRDefault="00F34D80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34D80" w:rsidR="00F34D80" w:rsidP="00F34D80" w:rsidRDefault="00F34D80" w14:paraId="034CE067" w14:textId="4ECD136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4D80">
              <w:rPr>
                <w:rFonts w:ascii="Garamond" w:hAnsi="Garamond"/>
                <w:sz w:val="18"/>
              </w:rPr>
              <w:t>Kształtowanie odpowiedzialności zawodowej poprzez uwzględnianie aspektów etycznych, prawnych i bezpieczeństwa użytkowania technologii słuchowych oraz dokumentowanie zaleceń i współpracę interdyscyplinarną.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4009355B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4009355B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13F1CE80" w:rsidRDefault="00CB43A3" w14:paraId="00478848" w14:textId="558DF0D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F1CE80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A65A49" w:rsidTr="4009355B" w14:paraId="43BF7894" w14:textId="77777777">
        <w:tc>
          <w:tcPr>
            <w:tcW w:w="562" w:type="dxa"/>
            <w:tcMar/>
            <w:vAlign w:val="center"/>
          </w:tcPr>
          <w:p w:rsidRPr="00875AA8" w:rsidR="00A65A49" w:rsidP="00A65A49" w:rsidRDefault="00A65A49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A65A49" w:rsidP="4009355B" w:rsidRDefault="00A65A49" w14:paraId="22847E5D" w14:textId="643C3233">
            <w:pPr>
              <w:pStyle w:val="Normalny"/>
              <w:spacing w:after="0" w:line="240" w:lineRule="auto"/>
              <w:jc w:val="left"/>
            </w:pPr>
            <w:r w:rsidRPr="4009355B" w:rsidR="48A1924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zasady działania aparatów słuchowych, implantów oraz systemów wspomagania słyszenia, w tym mechanizmy przetwarzania sygnału, dobór urządzeń i wpływ na percepcję mowy w ujęciu logopedycznym.</w:t>
            </w:r>
          </w:p>
        </w:tc>
        <w:tc>
          <w:tcPr>
            <w:tcW w:w="1559" w:type="dxa"/>
            <w:tcMar/>
            <w:vAlign w:val="center"/>
          </w:tcPr>
          <w:p w:rsidRPr="00A65A49" w:rsidR="00A65A49" w:rsidP="00A65A49" w:rsidRDefault="00A65A49" w14:paraId="4FF0721A" w14:textId="250F21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5A49">
              <w:rPr>
                <w:rFonts w:ascii="Garamond" w:hAnsi="Garamond"/>
                <w:sz w:val="18"/>
              </w:rPr>
              <w:t>LGP2_WG05</w:t>
            </w:r>
          </w:p>
        </w:tc>
        <w:tc>
          <w:tcPr>
            <w:tcW w:w="2551" w:type="dxa"/>
            <w:tcMar/>
            <w:vAlign w:val="center"/>
          </w:tcPr>
          <w:p w:rsidRPr="00875AA8" w:rsidR="00A65A49" w:rsidP="00A65A49" w:rsidRDefault="00F27DE3" w14:paraId="565631C0" w14:textId="4E99AD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DE3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F27DE3" w:rsidTr="4009355B" w14:paraId="0EDE31D5" w14:textId="77777777">
        <w:tc>
          <w:tcPr>
            <w:tcW w:w="562" w:type="dxa"/>
            <w:tcMar/>
            <w:vAlign w:val="center"/>
          </w:tcPr>
          <w:p w:rsidRPr="00875AA8" w:rsidR="00F27DE3" w:rsidP="00F27DE3" w:rsidRDefault="00F27DE3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8054F" w:rsidR="00F27DE3" w:rsidP="13F1CE80" w:rsidRDefault="00F27DE3" w14:paraId="3DF778F0" w14:textId="15654BC6">
            <w:pPr>
              <w:pStyle w:val="Normalny"/>
              <w:spacing w:after="0" w:line="240" w:lineRule="auto"/>
              <w:jc w:val="both"/>
            </w:pPr>
            <w:r w:rsidRPr="4009355B" w:rsidR="477F2875">
              <w:rPr>
                <w:rFonts w:ascii="Garamond" w:hAnsi="Garamond" w:eastAsia="Garamond" w:cs="Garamond"/>
                <w:noProof w:val="0"/>
                <w:sz w:val="18"/>
                <w:szCs w:val="18"/>
                <w:lang w:val="en-GB"/>
              </w:rPr>
              <w:t>Student zna uwarunkowania prawne, organizacyjne i etyczne stosowania technologii wspomagających słyszenie oraz zasady zapewnienia równego dostępu i bezpieczeństwa użytkowania w edukacji i opiece zdrowotnej.</w:t>
            </w:r>
          </w:p>
        </w:tc>
        <w:tc>
          <w:tcPr>
            <w:tcW w:w="1559" w:type="dxa"/>
            <w:tcMar/>
            <w:vAlign w:val="center"/>
          </w:tcPr>
          <w:p w:rsidRPr="00A65A49" w:rsidR="00F27DE3" w:rsidP="00F27DE3" w:rsidRDefault="00F27DE3" w14:paraId="59E772FE" w14:textId="5073C9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5A49">
              <w:rPr>
                <w:rFonts w:ascii="Garamond" w:hAnsi="Garamond"/>
                <w:sz w:val="18"/>
              </w:rPr>
              <w:t>LGP2_WK03</w:t>
            </w:r>
          </w:p>
        </w:tc>
        <w:tc>
          <w:tcPr>
            <w:tcW w:w="2551" w:type="dxa"/>
            <w:tcMar/>
            <w:vAlign w:val="center"/>
          </w:tcPr>
          <w:p w:rsidRPr="00875AA8" w:rsidR="00F27DE3" w:rsidP="00F27DE3" w:rsidRDefault="00F27DE3" w14:paraId="1F335204" w14:textId="08E9B2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1E90CBA1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9C486D" w:rsidTr="1E90CBA1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4227D564" w:rsidRDefault="00CB43A3" w14:paraId="1C988A6F" w14:textId="0262EDF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227D564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D653D" w:rsidTr="1E90CBA1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D653D" w:rsidP="009D653D" w:rsidRDefault="009D653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D653D" w:rsidP="4009355B" w:rsidRDefault="009D653D" w14:paraId="437A127B" w14:textId="0D436901">
            <w:pPr>
              <w:pStyle w:val="Normalny"/>
              <w:spacing w:after="0" w:line="240" w:lineRule="auto"/>
              <w:jc w:val="left"/>
            </w:pPr>
            <w:r w:rsidRPr="4009355B" w:rsidR="0DF1FF1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krytycznie oceniać technologie wspomagające słyszenie do potrzeb pacjenta, uwzględniając rodzaj ubytku słuchu, wiek, sytuacje komunikacyjne i cele terapii logopedycznej.</w:t>
            </w:r>
          </w:p>
        </w:tc>
        <w:tc>
          <w:tcPr>
            <w:tcW w:w="1560" w:type="dxa"/>
            <w:tcMar/>
            <w:vAlign w:val="center"/>
          </w:tcPr>
          <w:p w:rsidRPr="00D8054F" w:rsidR="009D653D" w:rsidP="009D653D" w:rsidRDefault="009D653D" w14:paraId="3D23CD6E" w14:textId="2006D8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09355B" w:rsidR="009D653D">
              <w:rPr>
                <w:rFonts w:ascii="Garamond" w:hAnsi="Garamond"/>
                <w:sz w:val="18"/>
                <w:szCs w:val="18"/>
              </w:rPr>
              <w:t xml:space="preserve">LGP2_UW04 </w:t>
            </w:r>
          </w:p>
        </w:tc>
        <w:tc>
          <w:tcPr>
            <w:tcW w:w="2552" w:type="dxa"/>
            <w:tcMar/>
            <w:vAlign w:val="center"/>
          </w:tcPr>
          <w:p w:rsidRPr="00875AA8" w:rsidR="009D653D" w:rsidP="009D653D" w:rsidRDefault="009D653D" w14:paraId="218CB926" w14:textId="48B151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DE3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9D653D" w:rsidTr="1E90CBA1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D653D" w:rsidP="009D653D" w:rsidRDefault="009D653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D653D" w:rsidP="4227D564" w:rsidRDefault="009D653D" w14:paraId="554DE301" w14:textId="3712BAF4">
            <w:pPr>
              <w:pStyle w:val="Normalny"/>
              <w:spacing w:after="0" w:line="240" w:lineRule="auto"/>
              <w:jc w:val="both"/>
            </w:pPr>
            <w:r w:rsidRPr="4009355B" w:rsidR="12876E0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projektować i prowadzić terapię z wykorzystaniem aparatów słuchowych, implantów i systemów wspomagających słyszenie, w tym trening słuchowy, konfigurację urządzeń i wsparcie komunikacyjne.</w:t>
            </w:r>
          </w:p>
        </w:tc>
        <w:tc>
          <w:tcPr>
            <w:tcW w:w="1560" w:type="dxa"/>
            <w:tcMar/>
            <w:vAlign w:val="center"/>
          </w:tcPr>
          <w:p w:rsidRPr="00D8054F" w:rsidR="009D653D" w:rsidP="009D653D" w:rsidRDefault="009D653D" w14:paraId="280A7D80" w14:textId="41BB9A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09355B" w:rsidR="009D653D">
              <w:rPr>
                <w:rFonts w:ascii="Garamond" w:hAnsi="Garamond"/>
                <w:sz w:val="18"/>
                <w:szCs w:val="18"/>
              </w:rPr>
              <w:t xml:space="preserve">LGP2_UW05  </w:t>
            </w:r>
          </w:p>
        </w:tc>
        <w:tc>
          <w:tcPr>
            <w:tcW w:w="2552" w:type="dxa"/>
            <w:tcMar/>
            <w:vAlign w:val="center"/>
          </w:tcPr>
          <w:p w:rsidRPr="00875AA8" w:rsidR="009D653D" w:rsidP="009D653D" w:rsidRDefault="009D653D" w14:paraId="357D4CB3" w14:textId="5A837B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DE3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9D653D" w:rsidTr="1E90CBA1" w14:paraId="1318EC04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D653D" w:rsidP="009D653D" w:rsidRDefault="009D653D" w14:paraId="3C31322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D653D" w:rsidP="4227D564" w:rsidRDefault="009D653D" w14:paraId="465F053F" w14:textId="614BD3C1">
            <w:pPr>
              <w:pStyle w:val="Normalny"/>
              <w:spacing w:after="0" w:line="240" w:lineRule="auto"/>
              <w:jc w:val="both"/>
            </w:pPr>
            <w:r w:rsidRPr="4009355B" w:rsidR="7844515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prowadzić dokumentację stosowania technologii wspomagających słyszenie, w tym rejestrację postępów, raportowanie efektów i rekomendacje dotyczące wdrożenia w domu, szkole i pracy.</w:t>
            </w:r>
          </w:p>
        </w:tc>
        <w:tc>
          <w:tcPr>
            <w:tcW w:w="1560" w:type="dxa"/>
            <w:tcMar/>
            <w:vAlign w:val="center"/>
          </w:tcPr>
          <w:p w:rsidRPr="00D8054F" w:rsidR="009D653D" w:rsidP="009D653D" w:rsidRDefault="009D653D" w14:paraId="4659295D" w14:textId="551CCA9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09355B" w:rsidR="009D653D">
              <w:rPr>
                <w:rFonts w:ascii="Garamond" w:hAnsi="Garamond"/>
                <w:sz w:val="18"/>
                <w:szCs w:val="18"/>
              </w:rPr>
              <w:t xml:space="preserve">LGP2_UW08 </w:t>
            </w:r>
          </w:p>
        </w:tc>
        <w:tc>
          <w:tcPr>
            <w:tcW w:w="2552" w:type="dxa"/>
            <w:tcMar/>
            <w:vAlign w:val="center"/>
          </w:tcPr>
          <w:p w:rsidRPr="00875AA8" w:rsidR="009D653D" w:rsidP="009D653D" w:rsidRDefault="009D653D" w14:paraId="6594A8B4" w14:textId="47C6CF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  <w:tr w:rsidRPr="00875AA8" w:rsidR="009D653D" w:rsidTr="1E90CBA1" w14:paraId="25292A5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D653D" w:rsidP="009D653D" w:rsidRDefault="009D653D" w14:paraId="22F2C9B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D653D" w:rsidP="4009355B" w:rsidRDefault="009D653D" w14:paraId="5732637A" w14:textId="4E112196">
            <w:pPr>
              <w:pStyle w:val="Normalny"/>
              <w:spacing w:after="0" w:line="240" w:lineRule="auto"/>
              <w:jc w:val="both"/>
            </w:pPr>
            <w:r w:rsidRPr="1E90CBA1" w:rsidR="7905EDB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rozwiązania wspomagającej i alternatywnej komunikacji w logopedii oraz projektować środowisko akustyczne sprzyjające dostępności komunikacyjnej.</w:t>
            </w:r>
          </w:p>
        </w:tc>
        <w:tc>
          <w:tcPr>
            <w:tcW w:w="1560" w:type="dxa"/>
            <w:tcMar/>
            <w:vAlign w:val="center"/>
          </w:tcPr>
          <w:p w:rsidRPr="00D8054F" w:rsidR="009D653D" w:rsidP="009D653D" w:rsidRDefault="009D653D" w14:paraId="431F16E9" w14:textId="4C947A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09355B" w:rsidR="009D653D">
              <w:rPr>
                <w:rFonts w:ascii="Garamond" w:hAnsi="Garamond"/>
                <w:sz w:val="18"/>
                <w:szCs w:val="18"/>
              </w:rPr>
              <w:t xml:space="preserve">LGP2_UW11 </w:t>
            </w:r>
          </w:p>
        </w:tc>
        <w:tc>
          <w:tcPr>
            <w:tcW w:w="2552" w:type="dxa"/>
            <w:tcMar/>
            <w:vAlign w:val="center"/>
          </w:tcPr>
          <w:p w:rsidRPr="00875AA8" w:rsidR="009D653D" w:rsidP="009D653D" w:rsidRDefault="009D653D" w14:paraId="1ABECF73" w14:textId="6AF43C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DE3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9D653D" w:rsidTr="1E90CBA1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D653D" w:rsidP="009D653D" w:rsidRDefault="009D653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D653D" w:rsidP="4009355B" w:rsidRDefault="009D653D" w14:paraId="141C3726" w14:textId="40CF5980">
            <w:pPr>
              <w:pStyle w:val="Normalny"/>
              <w:spacing w:after="0" w:line="240" w:lineRule="auto"/>
              <w:jc w:val="both"/>
            </w:pPr>
            <w:r w:rsidRPr="1E90CBA1" w:rsidR="03AE575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wykorzystywać ICT w terapii logopedycznej, w tym zdalne prowadzenie sesji, rejestrację i analizę nagrań, obsługę aplikacji wspomagających słyszenie oraz bezpieczne przetwarzanie danych pacjenta.</w:t>
            </w:r>
          </w:p>
        </w:tc>
        <w:tc>
          <w:tcPr>
            <w:tcW w:w="1560" w:type="dxa"/>
            <w:tcMar/>
            <w:vAlign w:val="center"/>
          </w:tcPr>
          <w:p w:rsidRPr="00D8054F" w:rsidR="009D653D" w:rsidP="009D653D" w:rsidRDefault="009D653D" w14:paraId="197C744A" w14:textId="773953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09355B" w:rsidR="009D653D">
              <w:rPr>
                <w:rFonts w:ascii="Garamond" w:hAnsi="Garamond"/>
                <w:sz w:val="18"/>
                <w:szCs w:val="18"/>
              </w:rPr>
              <w:t>LGP2_UW14</w:t>
            </w:r>
          </w:p>
        </w:tc>
        <w:tc>
          <w:tcPr>
            <w:tcW w:w="2552" w:type="dxa"/>
            <w:tcMar/>
            <w:vAlign w:val="center"/>
          </w:tcPr>
          <w:p w:rsidRPr="00875AA8" w:rsidR="009D653D" w:rsidP="009D653D" w:rsidRDefault="009D653D" w14:paraId="5685F94C" w14:textId="5C47F1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1E90CBA1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1E90CBA1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4009355B" w:rsidRDefault="00CB43A3" w14:paraId="070C9519" w14:textId="634A6AC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009355B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D653D" w:rsidTr="1E90CBA1" w14:paraId="68FD3F6E" w14:textId="77777777">
        <w:tc>
          <w:tcPr>
            <w:tcW w:w="562" w:type="dxa"/>
            <w:tcMar/>
            <w:vAlign w:val="center"/>
          </w:tcPr>
          <w:p w:rsidRPr="00875AA8" w:rsidR="009D653D" w:rsidP="009D653D" w:rsidRDefault="009D653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D653D" w:rsidP="1E90CBA1" w:rsidRDefault="009D653D" w14:paraId="2C23BCA2" w14:textId="2F6BDA82">
            <w:pPr>
              <w:pStyle w:val="Normalny"/>
              <w:spacing w:after="0" w:line="240" w:lineRule="auto"/>
              <w:jc w:val="left"/>
            </w:pPr>
            <w:r w:rsidRPr="1E90CBA1" w:rsidR="0483F48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krytycznie ocenić wiarygodność źródeł wiedzy logopedycznej w zakresie technologii wspomagających słyszenie, w tym badania naukowe, wytyczne kliniczne i rekomendacje producentów urządzeń.</w:t>
            </w:r>
          </w:p>
        </w:tc>
        <w:tc>
          <w:tcPr>
            <w:tcW w:w="1559" w:type="dxa"/>
            <w:tcMar/>
            <w:vAlign w:val="center"/>
          </w:tcPr>
          <w:p w:rsidRPr="00875AA8" w:rsidR="009D653D" w:rsidP="009D653D" w:rsidRDefault="009D653D" w14:paraId="72085FF3" w14:textId="6D27A5C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5A49">
              <w:rPr>
                <w:rFonts w:ascii="Garamond" w:hAnsi="Garamond" w:cs="Times New Roman"/>
                <w:sz w:val="18"/>
                <w:szCs w:val="18"/>
                <w:lang w:val="pl-PL"/>
              </w:rPr>
              <w:t>LGP2_KK01</w:t>
            </w:r>
          </w:p>
        </w:tc>
        <w:tc>
          <w:tcPr>
            <w:tcW w:w="2558" w:type="dxa"/>
            <w:tcMar/>
            <w:vAlign w:val="center"/>
          </w:tcPr>
          <w:p w:rsidRPr="00875AA8" w:rsidR="009D653D" w:rsidP="009D653D" w:rsidRDefault="009D653D" w14:paraId="4655E9F5" w14:textId="67BE26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4009355B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4009355B" w:rsidTr="4009355B" w14:paraId="2C72B135">
        <w:trPr>
          <w:trHeight w:val="311"/>
        </w:trPr>
        <w:tc>
          <w:tcPr>
            <w:tcW w:w="562" w:type="dxa"/>
            <w:vMerge/>
            <w:tcMar/>
            <w:vAlign w:val="center"/>
          </w:tcPr>
          <w:p w14:paraId="408D12A7"/>
        </w:tc>
        <w:tc>
          <w:tcPr>
            <w:tcW w:w="6522" w:type="dxa"/>
            <w:vMerge/>
            <w:tcMar/>
            <w:vAlign w:val="center"/>
          </w:tcPr>
          <w:p w14:paraId="07F32F8F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32D08E16" w:rsidP="4009355B" w:rsidRDefault="32D08E16" w14:paraId="52F8ED19" w14:textId="04081FB2">
            <w:pPr>
              <w:spacing w:after="0" w:afterAutospacing="off" w:line="276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009355B" w:rsidR="32D08E1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Warsztaty</w:t>
            </w:r>
          </w:p>
        </w:tc>
      </w:tr>
      <w:tr w:rsidRPr="00875AA8" w:rsidR="000E55A3" w:rsidTr="4009355B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9F6CEC" w:rsidTr="4009355B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2BE4ADD1" w14:textId="461897F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Zakres technologii wspomagających słyszenie i rozumienie mowy; miejsce technologii w procesie rehabilitacji słuchowej osób z różnymi typami ubytku słuchu i w różnym wieku. Przegląd systemów protezowania słuchu z perspektywy logopedycznej oraz rola wywiadu funkcjonalnego i profilu słyszenia w codziennych sytuacjach w doprecyzowaniu celów komunikacyjnych pacjenta i jego rodziny.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7EECE42B" w14:textId="715F0D2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60FA3D21" w14:textId="6687A0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2238833E" w14:textId="388B19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Aparat słuchowy jako system przetwarzania dźwięku: mikrofony, przetworniki, algorytmy redukcji hałasu, kierunkowość i kompresja dynamiki. Dobór typu i klasy urządzenia: wkładka, RIC, aparaty zauszne i wewnątrzuszne; systemy CROS i BiCROS. Bezpieczeństwo użytkowania, higiena, konserwacja oraz zarządzanie energią zasilania w codziennej praktyce.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6D0FAE2C" w14:textId="7C2CDAA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0D99C739" w14:textId="5FCD1A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1EA77377" w14:textId="4B50C40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Implanty ślimakowe: zasady działania, wskazania kliniczne, ograniczenia i oczekiwane efekty słuchowe. Etapy rehabilitacji po implantacji oraz rola logopedy w zespole interdyscyplinarnym. Implanty ucha środkowego oraz systemy zakotwiczone w kości – różnice funkcjonalne i implikacje terapeutyczne.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190556FA" w14:textId="5A7F693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7CE677E1" w14:textId="64F410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7CD38EFF" w14:textId="747C6E9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Systemy wspomagania słyszenia w przestrzeni publicznej: pętle indukcyjne, systemy FM i DM, mikrofony zdalne oraz nagłośnienie strefowe w klasie i salach konferencyjnych. Standardy łączności: telecoil, Bluetooth i rozwiązania szerokozasięgowe; kryteria doboru systemu do sytuacji edukacyjnych i zawodowych.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5B21D947" w14:textId="023C819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3C995062" w14:textId="66455DB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1E4F02AF" w14:textId="64AABB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Planowanie środowiska akustycznego w szkole i miejscu pracy: adaptacja pomieszczeń, kontrola pogłosu i hałasu tła. Napisy na żywo oraz automatyczne rozpoznawanie mowy jako element dostępności komunikacyjnej. Wsparcie funkcjonowania słuchowego w sytuacjach specjalnych: rozmowy telefoniczne, spotkania online, transport publiczny, kino i teatr.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5826B5E3" w14:textId="0E2935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601CA14A" w14:textId="5DE664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68BE608D" w14:textId="04F426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Weryfikacja i walidacja dopasowania protez słuchowych: metodyka pomiaru w uchu, mapowanie urządzeń implantowanych w ujęciu logopedycznym, kwestionariusze wynikowe i obserwacja funkcjonalna. Dokumentowanie efektów terapii i współpracy z protetykiem słuchu oraz inżynierem klinicznym.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6A8AE28D" w14:textId="6AA20F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6D22398D" w14:textId="66377AD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7AAB9787" w14:textId="4CF19F7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Etyka i prawo w dostępie do technologii wspomagających słyszenie: równość komunikacyjna, odpowiedzialność specjalisty, zasady dokumentowania zaleceń. Ochrona danych osobowych i bezpieczna konfiguracja urządzeń słuchowych i aplikacji mobilnych.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23E10F5B" w14:textId="796FFE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0C16CC89" w14:textId="58915B0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F6CEC" w:rsidP="009F6CEC" w:rsidRDefault="009F6CEC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9F6CEC" w:rsidR="009F6CEC" w:rsidP="009F6CEC" w:rsidRDefault="009F6CEC" w14:paraId="6BE9BB62" w14:textId="2579CE7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 xml:space="preserve">Demonstracja i testowanie rozwiązań niskotechnologicznych oraz technologicznych w praktyce logopedycznej: strategie ustawienia rozmówców, organizacja przestrzeni, konfiguracja aparatów słuchowych i aplikacji sterujących. Trening słuchowy z wykorzystaniem aplikacji i materiałów audio, tworzenie instrukcji dla nauczycieli i pracodawców oraz przygotowanie krótkiego raportu z rekomendacją technologii i planem wdrożenia w domu, szkole i pracy. 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00C69D4F" w14:textId="5B5EB17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9F6CEC" w:rsidR="009F6CEC" w:rsidP="005D0A0A" w:rsidRDefault="009F6CEC" w14:paraId="5E8D992B" w14:textId="5ACA7DA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6CEC">
              <w:rPr>
                <w:rFonts w:ascii="Garamond" w:hAnsi="Garamond"/>
                <w:sz w:val="18"/>
              </w:rPr>
              <w:t>1</w:t>
            </w:r>
          </w:p>
        </w:tc>
      </w:tr>
      <w:tr w:rsidRPr="00875AA8" w:rsidR="009F6CEC" w:rsidTr="4009355B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9F6CEC" w:rsidP="009F6CEC" w:rsidRDefault="009F6CEC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9F6CEC" w:rsidP="009F6CEC" w:rsidRDefault="009F6CEC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5D0A0A" w:rsidR="009F6CEC" w:rsidP="005D0A0A" w:rsidRDefault="009F6CEC" w14:paraId="179A2DF6" w14:textId="34B7F37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D0A0A">
              <w:rPr>
                <w:rFonts w:ascii="Garamond" w:hAnsi="Garamond"/>
                <w:sz w:val="18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5D0A0A" w:rsidR="009F6CEC" w:rsidP="005D0A0A" w:rsidRDefault="009F6CEC" w14:paraId="10E1F011" w14:textId="78CC17E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D0A0A">
              <w:rPr>
                <w:rFonts w:ascii="Garamond" w:hAnsi="Garamond"/>
                <w:sz w:val="18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23D136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2311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DA0391" w14:paraId="03A3967E" w14:textId="65CB382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3CAC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CC0A7C" w:rsidR="00CC0A7C" w:rsidP="00CC0A7C" w:rsidRDefault="00CC0A7C" w14:paraId="5EF6F9C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C0A7C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CC0A7C" w:rsidR="00CC0A7C" w:rsidTr="00C90D62" w14:paraId="121FDE4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CC0A7C" w:rsidR="00CC0A7C" w:rsidP="00CC0A7C" w:rsidRDefault="00CC0A7C" w14:paraId="43D87F9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0A7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CC0A7C" w:rsidR="00CC0A7C" w:rsidP="00CC0A7C" w:rsidRDefault="00CC0A7C" w14:paraId="63A37DD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C0A7C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CC0A7C" w:rsidR="00CC0A7C" w:rsidTr="00C90D62" w14:paraId="0B951F46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CC0A7C" w:rsidR="00CC0A7C" w:rsidP="00CC0A7C" w:rsidRDefault="00CC0A7C" w14:paraId="6B9FFC1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CC0A7C" w:rsidR="00CC0A7C" w:rsidP="00CC0A7C" w:rsidRDefault="00CC0A7C" w14:paraId="739739E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0A7C">
              <w:fldChar w:fldCharType="begin"/>
            </w:r>
            <w:r w:rsidRPr="00CC0A7C">
              <w:instrText xml:space="preserve"> REF FormaZajęćNr1 \h  \* MERGEFORMAT </w:instrText>
            </w:r>
            <w:r w:rsidRPr="00CC0A7C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855D05514DA04709958EF20A85206E2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CC0A7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CC0A7C">
              <w:fldChar w:fldCharType="end"/>
            </w:r>
          </w:p>
        </w:tc>
      </w:tr>
      <w:tr w:rsidRPr="00CC0A7C" w:rsidR="00CC0A7C" w:rsidTr="00C90D62" w14:paraId="3392B0EF" w14:textId="77777777">
        <w:trPr>
          <w:trHeight w:val="263"/>
        </w:trPr>
        <w:tc>
          <w:tcPr>
            <w:tcW w:w="7366" w:type="dxa"/>
            <w:vAlign w:val="center"/>
          </w:tcPr>
          <w:p w:rsidRPr="00CC0A7C" w:rsidR="00CC0A7C" w:rsidP="00CC0A7C" w:rsidRDefault="00CC0A7C" w14:paraId="72DD7780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CC0A7C" w:rsidR="00CC0A7C" w:rsidP="00CC0A7C" w:rsidRDefault="00CC0A7C" w14:paraId="353E56B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CC0A7C" w:rsidR="00CC0A7C" w:rsidTr="00C90D62" w14:paraId="1EF3CEB4" w14:textId="77777777">
        <w:trPr>
          <w:trHeight w:val="263"/>
        </w:trPr>
        <w:tc>
          <w:tcPr>
            <w:tcW w:w="7366" w:type="dxa"/>
            <w:vAlign w:val="center"/>
          </w:tcPr>
          <w:p w:rsidRPr="00CC0A7C" w:rsidR="00CC0A7C" w:rsidP="00CC0A7C" w:rsidRDefault="00CC0A7C" w14:paraId="1D9A889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CC0A7C" w:rsidR="00CC0A7C" w:rsidP="00CC0A7C" w:rsidRDefault="00CC0A7C" w14:paraId="4C777C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CC0A7C" w:rsidR="00CC0A7C" w:rsidTr="00C90D62" w14:paraId="7058FFEF" w14:textId="77777777">
        <w:trPr>
          <w:trHeight w:val="263"/>
        </w:trPr>
        <w:tc>
          <w:tcPr>
            <w:tcW w:w="7366" w:type="dxa"/>
            <w:vAlign w:val="center"/>
          </w:tcPr>
          <w:p w:rsidRPr="00CC0A7C" w:rsidR="00CC0A7C" w:rsidP="00CC0A7C" w:rsidRDefault="00CC0A7C" w14:paraId="0A4D900F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CC0A7C" w:rsidR="00CC0A7C" w:rsidP="00CC0A7C" w:rsidRDefault="00CC0A7C" w14:paraId="5C9C39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CC0A7C" w:rsidR="00CC0A7C" w:rsidTr="00C90D62" w14:paraId="6A6B240F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CC0A7C" w:rsidR="00CC0A7C" w:rsidP="00CC0A7C" w:rsidRDefault="00CC0A7C" w14:paraId="215F5DA0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CC0A7C" w:rsidR="00CC0A7C" w:rsidP="00CC0A7C" w:rsidRDefault="00CC0A7C" w14:paraId="629788E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CC0A7C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Pr="00CC0A7C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CC0A7C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CC0A7C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CC0A7C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Pr="00CC0A7C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B82333" w:rsidR="00B82333" w:rsidP="00B82333" w:rsidRDefault="00B82333" w14:paraId="0E08715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82333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2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B82333" w:rsidR="00B82333" w:rsidTr="4009355B" w14:paraId="591A2334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B82333" w:rsidR="00B82333" w:rsidP="00B82333" w:rsidRDefault="00B82333" w14:paraId="74EFB9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B82333" w:rsidR="00B82333" w:rsidP="00B82333" w:rsidRDefault="00B82333" w14:paraId="2B9D9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B82333" w:rsidR="00B82333" w:rsidP="00B82333" w:rsidRDefault="00B82333" w14:paraId="56BAD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B82333" w:rsidR="00B82333" w:rsidTr="4009355B" w14:paraId="39633272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B82333" w:rsidR="00B82333" w:rsidP="00B82333" w:rsidRDefault="00B82333" w14:paraId="5AC559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B82333" w:rsidR="00B82333" w:rsidP="00B82333" w:rsidRDefault="00B82333" w14:paraId="6006AA7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B82333" w:rsidR="00B82333" w:rsidP="00B82333" w:rsidRDefault="00B82333" w14:paraId="7AC738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82333" w:rsidR="00B82333" w:rsidP="00B82333" w:rsidRDefault="00B82333" w14:paraId="47E1B82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B82333" w:rsidR="00B82333" w:rsidTr="4009355B" w14:paraId="6C46B688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B82333" w:rsidR="00B82333" w:rsidP="00B82333" w:rsidRDefault="00B82333" w14:paraId="2D931DAD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B82333" w:rsidR="00B82333" w:rsidP="00B82333" w:rsidRDefault="00B82333" w14:paraId="7FE63CA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3EB1C5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44F0FD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B82333" w:rsidR="00B82333" w:rsidTr="4009355B" w14:paraId="7AB8FB6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B82333" w:rsidR="00B82333" w:rsidP="00B82333" w:rsidRDefault="00B82333" w14:paraId="6FD57DA8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B82333" w:rsidR="00B82333" w:rsidP="00B82333" w:rsidRDefault="00B82333" w14:paraId="6C4298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51EC0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6727BE3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B82333" w:rsidR="00B82333" w:rsidTr="4009355B" w14:paraId="3756E24F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B82333" w:rsidR="00B82333" w:rsidP="00B82333" w:rsidRDefault="00B82333" w14:paraId="25926E53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B82333" w:rsidR="00B82333" w:rsidP="00B82333" w:rsidRDefault="00B82333" w14:paraId="7D9F250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5D5BF38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2B9968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Pr="00B82333" w:rsidR="00B82333" w:rsidTr="4009355B" w14:paraId="0204AC69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B82333" w:rsidR="00B82333" w:rsidP="00B82333" w:rsidRDefault="00B82333" w14:paraId="1B34B603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B82333" w:rsidR="00B82333" w:rsidP="00B82333" w:rsidRDefault="00B82333" w14:paraId="5037453D" w14:textId="59308F34">
            <w:pPr>
              <w:spacing w:after="0" w:line="240" w:lineRule="auto"/>
            </w:pPr>
            <w:r w:rsidRPr="4009355B" w:rsidR="5E6A58A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Realizacja zadania projektowego poza zajęciami  </w:t>
            </w:r>
            <w:r w:rsidRPr="4009355B" w:rsidR="5E6A58A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73681F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7C8128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B82333" w:rsidR="00B82333" w:rsidTr="4009355B" w14:paraId="0B69DC30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B82333" w:rsidR="00B82333" w:rsidP="00B82333" w:rsidRDefault="00B82333" w14:paraId="0856F2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B82333" w:rsidR="00B82333" w:rsidP="00B82333" w:rsidRDefault="00B82333" w14:paraId="0A96F90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5CDD6D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tcMar/>
            <w:vAlign w:val="center"/>
          </w:tcPr>
          <w:p w:rsidRPr="00B82333" w:rsidR="00B82333" w:rsidP="00B82333" w:rsidRDefault="00B82333" w14:paraId="35AEBBD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8233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D318D6" w:rsidTr="00D318D6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D318D6" w:rsidP="00D318D6" w:rsidRDefault="00D318D6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8362B8" w:rsidR="00D318D6" w:rsidP="00D318D6" w:rsidRDefault="00D318D6" w14:paraId="6A4178E4" w14:textId="34E4A5F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62B8">
              <w:rPr>
                <w:rFonts w:ascii="Garamond" w:hAnsi="Garamond"/>
                <w:sz w:val="18"/>
              </w:rPr>
              <w:t>Hojan-Jezierska D., Karlik M., Loba W., Urbaniak-Olejnik M., (red.), (2024) Wyzwania współczesnej protetyki słuchu, t. 8, Wydawnictwo Naukowe UMP.</w:t>
            </w:r>
          </w:p>
        </w:tc>
      </w:tr>
      <w:tr w:rsidRPr="00875AA8" w:rsidR="00D318D6" w:rsidTr="00D318D6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D318D6" w:rsidP="00D318D6" w:rsidRDefault="00D318D6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8362B8" w:rsidR="00D318D6" w:rsidP="00D318D6" w:rsidRDefault="00D318D6" w14:paraId="4F39552D" w14:textId="42BFED5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62B8">
              <w:rPr>
                <w:rFonts w:ascii="Garamond" w:hAnsi="Garamond"/>
                <w:sz w:val="18"/>
              </w:rPr>
              <w:t>Hojan-Jezierska D., Hojan E., Kubisz L., Obrębowski A., Wiskirska-Woźnica B., (red.), (2021) Wyzwania współczesnej protetyki słuchu, t. 6, Wydawnictwo Naukowe UMP.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8362B8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8362B8" w14:paraId="6C781DF8" w14:textId="3C822E8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62B8">
              <w:rPr>
                <w:rFonts w:ascii="Garamond" w:hAnsi="Garamond" w:cs="Times New Roman"/>
                <w:sz w:val="18"/>
                <w:szCs w:val="18"/>
                <w:lang w:val="pl-PL"/>
              </w:rPr>
              <w:t>Hojan E., (2014), Protetyka słuchu, Wydawnictwo Naukowe UAM.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387" w:rsidRDefault="00976387" w14:paraId="18AB14D7" w14:textId="77777777">
      <w:pPr>
        <w:spacing w:after="0" w:line="240" w:lineRule="auto"/>
      </w:pPr>
      <w:r>
        <w:separator/>
      </w:r>
    </w:p>
  </w:endnote>
  <w:endnote w:type="continuationSeparator" w:id="0">
    <w:p w:rsidR="00976387" w:rsidRDefault="00976387" w14:paraId="3EDA48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4009355B" w:rsidRDefault="00BA42CB" w14:paraId="57A5CE39" w14:textId="606859F9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4009355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4009355B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4009355B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4009355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009355B" w:rsidR="4009355B">
      <w:rPr>
        <w:rFonts w:ascii="Times New Roman" w:hAnsi="Times New Roman" w:cs="Times New Roman"/>
        <w:sz w:val="20"/>
        <w:szCs w:val="20"/>
        <w:lang w:val="pl-PL"/>
      </w:rPr>
      <w:t xml:space="preserve">Technologie wspierające funkcjonowanie słuchowe </w:t>
    </w:r>
    <w:r>
      <w:tab/>
    </w:r>
    <w:r w:rsidRPr="4009355B" w:rsidR="4009355B">
      <w:rPr>
        <w:rFonts w:ascii="Times New Roman" w:hAnsi="Times New Roman" w:cs="Times New Roman"/>
        <w:sz w:val="20"/>
        <w:szCs w:val="20"/>
        <w:lang w:val="pl-PL"/>
      </w:rPr>
      <w:t>S</w:t>
    </w:r>
    <w:r w:rsidRPr="4009355B" w:rsidR="4009355B">
      <w:rPr>
        <w:rFonts w:ascii="Times New Roman" w:hAnsi="Times New Roman" w:cs="Times New Roman"/>
        <w:sz w:val="20"/>
        <w:szCs w:val="20"/>
        <w:lang w:val="pl-PL"/>
      </w:rPr>
      <w:t>trona</w:t>
    </w:r>
    <w:r w:rsidRPr="4009355B" w:rsidR="4009355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009355B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4009355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009355B">
      <w:rPr>
        <w:rFonts w:ascii="Times New Roman" w:hAnsi="Times New Roman" w:cs="Times New Roman"/>
        <w:sz w:val="20"/>
        <w:szCs w:val="20"/>
      </w:rPr>
      <w:fldChar w:fldCharType="separate"/>
    </w:r>
    <w:r w:rsidRPr="4009355B" w:rsidR="4009355B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4009355B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387" w:rsidRDefault="00976387" w14:paraId="6D23E189" w14:textId="77777777">
      <w:pPr>
        <w:spacing w:after="0" w:line="240" w:lineRule="auto"/>
      </w:pPr>
      <w:r>
        <w:separator/>
      </w:r>
    </w:p>
  </w:footnote>
  <w:footnote w:type="continuationSeparator" w:id="0">
    <w:p w:rsidR="00976387" w:rsidRDefault="00976387" w14:paraId="7D0EFD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01516">
    <w:abstractNumId w:val="10"/>
  </w:num>
  <w:num w:numId="2" w16cid:durableId="1820612012">
    <w:abstractNumId w:val="2"/>
  </w:num>
  <w:num w:numId="3" w16cid:durableId="1869873631">
    <w:abstractNumId w:val="3"/>
  </w:num>
  <w:num w:numId="4" w16cid:durableId="255406112">
    <w:abstractNumId w:val="7"/>
  </w:num>
  <w:num w:numId="5" w16cid:durableId="1049651733">
    <w:abstractNumId w:val="5"/>
  </w:num>
  <w:num w:numId="6" w16cid:durableId="1239442589">
    <w:abstractNumId w:val="9"/>
  </w:num>
  <w:num w:numId="7" w16cid:durableId="1965382940">
    <w:abstractNumId w:val="1"/>
  </w:num>
  <w:num w:numId="8" w16cid:durableId="757365797">
    <w:abstractNumId w:val="11"/>
  </w:num>
  <w:num w:numId="9" w16cid:durableId="1940598078">
    <w:abstractNumId w:val="8"/>
  </w:num>
  <w:num w:numId="10" w16cid:durableId="311100779">
    <w:abstractNumId w:val="6"/>
  </w:num>
  <w:num w:numId="11" w16cid:durableId="1920022002">
    <w:abstractNumId w:val="4"/>
  </w:num>
  <w:num w:numId="12" w16cid:durableId="14320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7D19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2311B"/>
    <w:rsid w:val="00343F03"/>
    <w:rsid w:val="003554DD"/>
    <w:rsid w:val="00366604"/>
    <w:rsid w:val="00371901"/>
    <w:rsid w:val="0037308D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1F48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0A0A"/>
    <w:rsid w:val="005D1B3D"/>
    <w:rsid w:val="005D31D4"/>
    <w:rsid w:val="005D60DA"/>
    <w:rsid w:val="005E3D4E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52CBD"/>
    <w:rsid w:val="00760A5C"/>
    <w:rsid w:val="00772324"/>
    <w:rsid w:val="00777F72"/>
    <w:rsid w:val="0078334C"/>
    <w:rsid w:val="00795F64"/>
    <w:rsid w:val="007D37F7"/>
    <w:rsid w:val="007E68FB"/>
    <w:rsid w:val="00804069"/>
    <w:rsid w:val="00807872"/>
    <w:rsid w:val="0081752A"/>
    <w:rsid w:val="0083476F"/>
    <w:rsid w:val="008362B8"/>
    <w:rsid w:val="00836EFD"/>
    <w:rsid w:val="008623E1"/>
    <w:rsid w:val="008721A1"/>
    <w:rsid w:val="00873790"/>
    <w:rsid w:val="00875AA8"/>
    <w:rsid w:val="00894975"/>
    <w:rsid w:val="008A204D"/>
    <w:rsid w:val="008D47F3"/>
    <w:rsid w:val="008D7FD5"/>
    <w:rsid w:val="008F218F"/>
    <w:rsid w:val="008F5E98"/>
    <w:rsid w:val="0090638D"/>
    <w:rsid w:val="00924BAB"/>
    <w:rsid w:val="00927425"/>
    <w:rsid w:val="00941CE9"/>
    <w:rsid w:val="0094369A"/>
    <w:rsid w:val="009457E0"/>
    <w:rsid w:val="00946552"/>
    <w:rsid w:val="00963C48"/>
    <w:rsid w:val="00964650"/>
    <w:rsid w:val="00965D28"/>
    <w:rsid w:val="00967547"/>
    <w:rsid w:val="0097638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53D"/>
    <w:rsid w:val="009D6751"/>
    <w:rsid w:val="009E46CA"/>
    <w:rsid w:val="009E6AF7"/>
    <w:rsid w:val="009F6CEC"/>
    <w:rsid w:val="00A3045F"/>
    <w:rsid w:val="00A30B4F"/>
    <w:rsid w:val="00A36603"/>
    <w:rsid w:val="00A3671B"/>
    <w:rsid w:val="00A41303"/>
    <w:rsid w:val="00A65A49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474D"/>
    <w:rsid w:val="00B56CAD"/>
    <w:rsid w:val="00B57C21"/>
    <w:rsid w:val="00B6679C"/>
    <w:rsid w:val="00B82333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9643E"/>
    <w:rsid w:val="00CB43A3"/>
    <w:rsid w:val="00CB75B5"/>
    <w:rsid w:val="00CC0A7C"/>
    <w:rsid w:val="00CC0CFB"/>
    <w:rsid w:val="00CC5215"/>
    <w:rsid w:val="00CD173C"/>
    <w:rsid w:val="00CD536B"/>
    <w:rsid w:val="00CE580C"/>
    <w:rsid w:val="00D02427"/>
    <w:rsid w:val="00D14FC0"/>
    <w:rsid w:val="00D204D6"/>
    <w:rsid w:val="00D22D46"/>
    <w:rsid w:val="00D23535"/>
    <w:rsid w:val="00D25E97"/>
    <w:rsid w:val="00D318D6"/>
    <w:rsid w:val="00D33113"/>
    <w:rsid w:val="00D361A1"/>
    <w:rsid w:val="00D41B3C"/>
    <w:rsid w:val="00D438E0"/>
    <w:rsid w:val="00D6125B"/>
    <w:rsid w:val="00D8054F"/>
    <w:rsid w:val="00DA0391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C31FF"/>
    <w:rsid w:val="00EF4B40"/>
    <w:rsid w:val="00EF6180"/>
    <w:rsid w:val="00F27DE3"/>
    <w:rsid w:val="00F34D80"/>
    <w:rsid w:val="00F44A38"/>
    <w:rsid w:val="00F44B1B"/>
    <w:rsid w:val="00F559BF"/>
    <w:rsid w:val="00F56D8C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E2B1DC"/>
    <w:rsid w:val="01F3BDA5"/>
    <w:rsid w:val="02107513"/>
    <w:rsid w:val="028FE99E"/>
    <w:rsid w:val="03AE575C"/>
    <w:rsid w:val="0483F484"/>
    <w:rsid w:val="04FFD134"/>
    <w:rsid w:val="05F8ABF1"/>
    <w:rsid w:val="06BFB010"/>
    <w:rsid w:val="07F08097"/>
    <w:rsid w:val="0CC74A16"/>
    <w:rsid w:val="0D20E216"/>
    <w:rsid w:val="0DF1FF1D"/>
    <w:rsid w:val="0EDF7F84"/>
    <w:rsid w:val="0FE82C96"/>
    <w:rsid w:val="12876E09"/>
    <w:rsid w:val="128A2631"/>
    <w:rsid w:val="13F1CE80"/>
    <w:rsid w:val="159B7D84"/>
    <w:rsid w:val="1A19C462"/>
    <w:rsid w:val="1ADB90E3"/>
    <w:rsid w:val="1DF555E2"/>
    <w:rsid w:val="1E6054F0"/>
    <w:rsid w:val="1E90CBA1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86D2968"/>
    <w:rsid w:val="2B46C57E"/>
    <w:rsid w:val="2C694B60"/>
    <w:rsid w:val="2CE295DF"/>
    <w:rsid w:val="2EB516B5"/>
    <w:rsid w:val="2EF7EE0F"/>
    <w:rsid w:val="2F84B216"/>
    <w:rsid w:val="305A6738"/>
    <w:rsid w:val="314AFC77"/>
    <w:rsid w:val="31F4D6D3"/>
    <w:rsid w:val="32D08E16"/>
    <w:rsid w:val="348CB231"/>
    <w:rsid w:val="352DD85B"/>
    <w:rsid w:val="35DCD730"/>
    <w:rsid w:val="36C8AC9D"/>
    <w:rsid w:val="3842D09E"/>
    <w:rsid w:val="3A44155E"/>
    <w:rsid w:val="3B7A7160"/>
    <w:rsid w:val="3B7F8993"/>
    <w:rsid w:val="4009355B"/>
    <w:rsid w:val="4227D564"/>
    <w:rsid w:val="441B9738"/>
    <w:rsid w:val="442B9875"/>
    <w:rsid w:val="44794638"/>
    <w:rsid w:val="44DC0A2A"/>
    <w:rsid w:val="453AFA33"/>
    <w:rsid w:val="4636C2F9"/>
    <w:rsid w:val="4747C5DD"/>
    <w:rsid w:val="477F2875"/>
    <w:rsid w:val="484AE0BF"/>
    <w:rsid w:val="48A19246"/>
    <w:rsid w:val="49902FCF"/>
    <w:rsid w:val="4B94B43A"/>
    <w:rsid w:val="4C8C7779"/>
    <w:rsid w:val="4CC5EBC1"/>
    <w:rsid w:val="4D1237C7"/>
    <w:rsid w:val="4D8939F5"/>
    <w:rsid w:val="4FD7F2C4"/>
    <w:rsid w:val="50051873"/>
    <w:rsid w:val="50C00917"/>
    <w:rsid w:val="514E9389"/>
    <w:rsid w:val="5205F8C4"/>
    <w:rsid w:val="52A3E6A8"/>
    <w:rsid w:val="52EEDD9E"/>
    <w:rsid w:val="53EF5430"/>
    <w:rsid w:val="55C56071"/>
    <w:rsid w:val="56D56A4A"/>
    <w:rsid w:val="57223B22"/>
    <w:rsid w:val="5AB7C9D9"/>
    <w:rsid w:val="5E6A58A0"/>
    <w:rsid w:val="5ED998F1"/>
    <w:rsid w:val="607606CA"/>
    <w:rsid w:val="6147EEF6"/>
    <w:rsid w:val="61916CDB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445156"/>
    <w:rsid w:val="78DF5A96"/>
    <w:rsid w:val="78F7A37A"/>
    <w:rsid w:val="7905EDB1"/>
    <w:rsid w:val="7961F5A0"/>
    <w:rsid w:val="7D571D9B"/>
    <w:rsid w:val="7D638A5F"/>
    <w:rsid w:val="7D961AFF"/>
    <w:rsid w:val="7E61CA8E"/>
    <w:rsid w:val="7F6B886D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D8054F"/>
  </w:style>
  <w:style w:type="character" w:styleId="eop" w:customStyle="1">
    <w:name w:val="eop"/>
    <w:basedOn w:val="Domylnaczcionkaakapitu"/>
    <w:rsid w:val="00D8054F"/>
  </w:style>
  <w:style w:type="table" w:styleId="Tabela-Siatka1" w:customStyle="1">
    <w:name w:val="Tabela - Siatka1"/>
    <w:basedOn w:val="Standardowy"/>
    <w:next w:val="Tabela-Siatka"/>
    <w:uiPriority w:val="39"/>
    <w:rsid w:val="00CC0A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B823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1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2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1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7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0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924BAB" w:rsidRDefault="00924BAB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924BAB" w:rsidRDefault="00924BAB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924BAB" w:rsidRDefault="00924BAB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924BAB" w:rsidRDefault="00924BAB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855D05514DA04709958EF20A85206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49455-4EA1-4277-BA55-097FBE52B48B}"/>
      </w:docPartPr>
      <w:docPartBody>
        <w:p w:rsidR="00BD23DD" w:rsidP="00EC31FF" w:rsidRDefault="00EC31FF">
          <w:pPr>
            <w:pStyle w:val="855D05514DA04709958EF20A85206E20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55A28"/>
    <w:rsid w:val="00366604"/>
    <w:rsid w:val="00374ABD"/>
    <w:rsid w:val="003D705E"/>
    <w:rsid w:val="003E7FD8"/>
    <w:rsid w:val="00421329"/>
    <w:rsid w:val="004D25A3"/>
    <w:rsid w:val="00531F48"/>
    <w:rsid w:val="0053771E"/>
    <w:rsid w:val="005871F9"/>
    <w:rsid w:val="005D316F"/>
    <w:rsid w:val="00621EF8"/>
    <w:rsid w:val="0065328E"/>
    <w:rsid w:val="00742D80"/>
    <w:rsid w:val="00795F64"/>
    <w:rsid w:val="009031FE"/>
    <w:rsid w:val="00924BAB"/>
    <w:rsid w:val="00955B3B"/>
    <w:rsid w:val="00B22041"/>
    <w:rsid w:val="00B25ED0"/>
    <w:rsid w:val="00B37E2A"/>
    <w:rsid w:val="00BD23DD"/>
    <w:rsid w:val="00BE477A"/>
    <w:rsid w:val="00C47C7A"/>
    <w:rsid w:val="00C6166A"/>
    <w:rsid w:val="00CC5215"/>
    <w:rsid w:val="00CE7927"/>
    <w:rsid w:val="00D3399F"/>
    <w:rsid w:val="00DE60DB"/>
    <w:rsid w:val="00DF3F6C"/>
    <w:rsid w:val="00EC31FF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855D05514DA04709958EF20A85206E20">
    <w:name w:val="855D05514DA04709958EF20A85206E20"/>
    <w:rsid w:val="00EC31FF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08295AE7-F58B-4E02-92E9-7AABB2F71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55359-463D-42B5-AE1A-298E6CCA710C}"/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11</cp:revision>
  <cp:lastPrinted>2021-06-05T12:43:00Z</cp:lastPrinted>
  <dcterms:created xsi:type="dcterms:W3CDTF">2026-01-05T11:01:00Z</dcterms:created>
  <dcterms:modified xsi:type="dcterms:W3CDTF">2026-02-05T10:05:37Z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